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〔XXXX〕-XXXX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四川省自然资源厅办公室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关于挂牌督办XXXX案件的通知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经厅领导同意，现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（案件名称）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列为厅挂牌督办案件，由厅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综合执法监督局、XX处（室、局）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监督指导。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（违法主体）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涉嫌存在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（主要违法事实）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等违法行为。你局应按照《四川省自然资源厅挂牌督办和公开通报违法案件办法》的规定组织调查处理，自接到本通知之日起40日内形成调查处理意见，报自然资源厅审核后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及时作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正式处理决定，并将相关情况报告市（州）人民政府。决定作出之日起5个工作日内，将决定及对外公开材料书面报厅。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案（可选项）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四川省自然资源厅办公室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；电话：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8" w:firstLineChars="100"/>
        <w:textAlignment w:val="auto"/>
        <w:rPr>
          <w:rFonts w:hint="default" w:ascii="Times New Roman" w:hAnsi="Times New Roman" w:eastAsia="黑体" w:cs="Times New Roman"/>
          <w:sz w:val="28"/>
          <w:szCs w:val="28"/>
        </w:rPr>
        <w:sectPr>
          <w:footerReference r:id="rId3" w:type="default"/>
          <w:pgSz w:w="11906" w:h="16838"/>
          <w:pgMar w:top="1871" w:right="1474" w:bottom="147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抄送单位：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u w:val="none"/>
          <w:lang w:val="en-US" w:eastAsia="zh-CN"/>
        </w:rPr>
        <w:t>国家自然资源督察成都局，相关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u w:val="none"/>
          <w:lang w:eastAsia="zh-CN"/>
        </w:rPr>
        <w:t>市（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u w:val="none"/>
          <w:lang w:val="en-US" w:eastAsia="zh-CN"/>
        </w:rPr>
        <w:t>州）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u w:val="none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u w:val="none"/>
        </w:rPr>
        <w:t>政府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u w:val="none"/>
          <w:lang w:eastAsia="zh-CN"/>
        </w:rPr>
        <w:t>办公室（厅）、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u w:val="none"/>
          <w:lang w:val="en-US" w:eastAsia="zh-CN"/>
        </w:rPr>
        <w:t>相关市（州）纪委监委，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u w:val="none"/>
          <w:lang w:eastAsia="zh-CN"/>
        </w:rPr>
        <w:t>四川省纪委监委驻自然资源厅纪检监察组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76AAC"/>
    <w:rsid w:val="587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szCs w:val="24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2023-03-21T01:45:00Z</dcterms:created>
  <dc:creator>Administrator</dc:creator>
  <cp:lastModifiedBy>Administrator</cp:lastModifiedBy>
  <dcterms:modified xsi:type="dcterms:W3CDTF">2023-03-21T01:45:53Z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