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both"/>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附件1</w:t>
      </w:r>
    </w:p>
    <w:p>
      <w:pPr>
        <w:pageBreakBefore w:val="0"/>
        <w:kinsoku/>
        <w:wordWrap/>
        <w:overflowPunct/>
        <w:topLinePunct w:val="0"/>
        <w:autoSpaceDE/>
        <w:autoSpaceDN/>
        <w:bidi w:val="0"/>
        <w:adjustRightInd/>
        <w:snapToGrid/>
        <w:spacing w:line="240" w:lineRule="auto"/>
        <w:jc w:val="center"/>
        <w:rPr>
          <w:rFonts w:hint="default" w:ascii="Times New Roman" w:hAnsi="Times New Roman" w:eastAsia="方正小标宋简体" w:cs="Times New Roman"/>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val="en-US" w:eastAsia="zh-CN"/>
        </w:rPr>
        <w:t>xx县（市、区）xx年</w:t>
      </w:r>
      <w:r>
        <w:rPr>
          <w:rFonts w:hint="default" w:ascii="Times New Roman" w:hAnsi="Times New Roman" w:eastAsia="方正小标宋简体" w:cs="Times New Roman"/>
          <w:b w:val="0"/>
          <w:bCs w:val="0"/>
          <w:sz w:val="44"/>
          <w:szCs w:val="44"/>
          <w:highlight w:val="none"/>
        </w:rPr>
        <w:t>耕地</w:t>
      </w:r>
      <w:r>
        <w:rPr>
          <w:rFonts w:hint="default" w:ascii="Times New Roman" w:hAnsi="Times New Roman" w:eastAsia="方正小标宋简体" w:cs="Times New Roman"/>
          <w:b w:val="0"/>
          <w:bCs w:val="0"/>
          <w:sz w:val="44"/>
          <w:szCs w:val="44"/>
          <w:highlight w:val="none"/>
          <w:lang w:eastAsia="zh-CN"/>
        </w:rPr>
        <w:t>“进出平衡”</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eastAsia="zh-CN"/>
        </w:rPr>
        <w:t>总体</w:t>
      </w:r>
      <w:r>
        <w:rPr>
          <w:rFonts w:hint="default" w:ascii="Times New Roman" w:hAnsi="Times New Roman" w:eastAsia="方正小标宋简体" w:cs="Times New Roman"/>
          <w:b w:val="0"/>
          <w:bCs w:val="0"/>
          <w:sz w:val="44"/>
          <w:szCs w:val="44"/>
          <w:highlight w:val="none"/>
        </w:rPr>
        <w:t>方案</w:t>
      </w:r>
      <w:r>
        <w:rPr>
          <w:rFonts w:hint="default" w:ascii="Times New Roman" w:hAnsi="Times New Roman" w:eastAsia="方正小标宋简体" w:cs="Times New Roman"/>
          <w:b w:val="0"/>
          <w:bCs w:val="0"/>
          <w:sz w:val="44"/>
          <w:szCs w:val="44"/>
          <w:highlight w:val="none"/>
          <w:lang w:val="en-US" w:eastAsia="zh-CN"/>
        </w:rPr>
        <w:t>编制要点</w:t>
      </w:r>
    </w:p>
    <w:p>
      <w:pPr>
        <w:pStyle w:val="2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eastAsia="仿宋_GB2312" w:cs="Times New Roman"/>
          <w:lang w:val="en-US" w:eastAsia="zh-C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eastAsia="方正小标宋简体" w:cs="Times New Roman"/>
        </w:rPr>
      </w:pPr>
    </w:p>
    <w:p>
      <w:pPr>
        <w:pStyle w:val="27"/>
        <w:pageBreakBefore w:val="0"/>
        <w:kinsoku/>
        <w:wordWrap/>
        <w:overflowPunct/>
        <w:topLinePunct w:val="0"/>
        <w:autoSpaceDE/>
        <w:autoSpaceDN/>
        <w:bidi w:val="0"/>
        <w:adjustRightInd/>
        <w:snapToGrid/>
        <w:spacing w:line="240" w:lineRule="auto"/>
        <w:rPr>
          <w:rFonts w:hint="default" w:ascii="Times New Roman" w:hAnsi="Times New Roman" w:eastAsia="方正小标宋简体" w:cs="Times New Roman"/>
        </w:rPr>
      </w:pPr>
    </w:p>
    <w:p>
      <w:pPr>
        <w:jc w:val="center"/>
        <w:rPr>
          <w:rFonts w:hint="default" w:ascii="Times New Roman" w:hAnsi="Times New Roman" w:eastAsia="黑体" w:cs="Times New Roman"/>
          <w:b w:val="0"/>
          <w:bCs w:val="0"/>
          <w:sz w:val="36"/>
          <w:szCs w:val="36"/>
          <w:lang w:val="en-US" w:eastAsia="zh-CN"/>
        </w:rPr>
      </w:pPr>
      <w:r>
        <w:rPr>
          <w:rFonts w:hint="default" w:ascii="Times New Roman" w:hAnsi="Times New Roman" w:eastAsia="黑体" w:cs="Times New Roman"/>
          <w:b w:val="0"/>
          <w:bCs w:val="0"/>
          <w:sz w:val="44"/>
          <w:szCs w:val="44"/>
          <w:highlight w:val="none"/>
          <w:lang w:val="en-US" w:eastAsia="zh-CN"/>
        </w:rPr>
        <w:t>xx</w:t>
      </w:r>
      <w:r>
        <w:rPr>
          <w:rFonts w:hint="default" w:ascii="Times New Roman" w:hAnsi="Times New Roman" w:eastAsia="黑体" w:cs="Times New Roman"/>
          <w:b w:val="0"/>
          <w:bCs w:val="0"/>
          <w:sz w:val="36"/>
          <w:szCs w:val="36"/>
          <w:lang w:val="en-US" w:eastAsia="zh-CN"/>
        </w:rPr>
        <w:t>县（市、区）人民政府</w:t>
      </w:r>
    </w:p>
    <w:p>
      <w:pPr>
        <w:jc w:val="center"/>
        <w:rPr>
          <w:rFonts w:hint="default" w:ascii="Times New Roman" w:hAnsi="Times New Roman" w:eastAsia="方正小标宋简体" w:cs="Times New Roman"/>
          <w:sz w:val="36"/>
          <w:szCs w:val="36"/>
          <w:lang w:val="en-US" w:eastAsia="zh-CN"/>
        </w:rPr>
        <w:sectPr>
          <w:pgSz w:w="11905" w:h="16838"/>
          <w:pgMar w:top="1871" w:right="1474" w:bottom="1474" w:left="1587" w:header="851" w:footer="1361" w:gutter="0"/>
          <w:pgNumType w:fmt="decimal"/>
          <w:cols w:space="720" w:num="1"/>
          <w:rtlGutter w:val="0"/>
          <w:docGrid w:type="lines" w:linePitch="436" w:charSpace="0"/>
        </w:sectPr>
      </w:pPr>
      <w:r>
        <w:rPr>
          <w:rFonts w:hint="default" w:ascii="Times New Roman" w:hAnsi="Times New Roman" w:eastAsia="黑体" w:cs="Times New Roman"/>
          <w:b w:val="0"/>
          <w:bCs w:val="0"/>
          <w:sz w:val="36"/>
          <w:szCs w:val="36"/>
          <w:lang w:val="en-US" w:eastAsia="zh-CN"/>
        </w:rPr>
        <w:t>202</w:t>
      </w:r>
      <w:r>
        <w:rPr>
          <w:rFonts w:hint="default" w:ascii="Times New Roman" w:hAnsi="Times New Roman" w:eastAsia="黑体" w:cs="Times New Roman"/>
          <w:b w:val="0"/>
          <w:bCs w:val="0"/>
          <w:sz w:val="44"/>
          <w:szCs w:val="44"/>
          <w:highlight w:val="none"/>
          <w:lang w:val="en-US" w:eastAsia="zh-CN"/>
        </w:rPr>
        <w:t>x</w:t>
      </w:r>
      <w:r>
        <w:rPr>
          <w:rFonts w:hint="default" w:ascii="Times New Roman" w:hAnsi="Times New Roman" w:eastAsia="黑体" w:cs="Times New Roman"/>
          <w:b w:val="0"/>
          <w:bCs w:val="0"/>
          <w:sz w:val="36"/>
          <w:szCs w:val="36"/>
          <w:lang w:val="en-US" w:eastAsia="zh-CN"/>
        </w:rPr>
        <w:t>年</w:t>
      </w:r>
      <w:r>
        <w:rPr>
          <w:rFonts w:hint="default" w:ascii="Times New Roman" w:hAnsi="Times New Roman" w:eastAsia="黑体" w:cs="Times New Roman"/>
          <w:b w:val="0"/>
          <w:bCs w:val="0"/>
          <w:sz w:val="44"/>
          <w:szCs w:val="44"/>
          <w:highlight w:val="none"/>
          <w:lang w:val="en-US" w:eastAsia="zh-CN"/>
        </w:rPr>
        <w:t>x</w:t>
      </w:r>
      <w:r>
        <w:rPr>
          <w:rFonts w:hint="default" w:ascii="Times New Roman" w:hAnsi="Times New Roman" w:eastAsia="黑体" w:cs="Times New Roman"/>
          <w:b w:val="0"/>
          <w:bCs w:val="0"/>
          <w:sz w:val="36"/>
          <w:szCs w:val="36"/>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黑体" w:cs="Times New Roman"/>
          <w:b w:val="0"/>
          <w:bCs w:val="0"/>
          <w:color w:val="auto"/>
          <w:sz w:val="32"/>
          <w:szCs w:val="32"/>
          <w:lang w:val="en-US" w:eastAsia="zh-CN"/>
        </w:rPr>
        <w:t>引言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0"/>
          <w:sz w:val="32"/>
          <w:szCs w:val="32"/>
          <w:lang w:eastAsia="zh-CN" w:bidi="ar"/>
        </w:rPr>
      </w:pPr>
      <w:r>
        <w:rPr>
          <w:rFonts w:hint="default" w:ascii="Times New Roman" w:hAnsi="Times New Roman" w:eastAsia="仿宋_GB2312" w:cs="Times New Roman"/>
          <w:kern w:val="0"/>
          <w:sz w:val="32"/>
          <w:szCs w:val="32"/>
          <w:lang w:eastAsia="zh-CN" w:bidi="ar"/>
        </w:rPr>
        <w:t>概述总体方案编制背景、目的和数据基础等。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（一）编制原则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（二）编制依据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说明总体方案编制依据的法律法规、政策文件等。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（三）编制过程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重点突出总体方案编制程序合规性以及方案内容的完整性等。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（一）基本概况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b w:val="0"/>
          <w:bCs w:val="0"/>
          <w:color w:val="auto"/>
          <w:sz w:val="32"/>
          <w:szCs w:val="32"/>
          <w:lang w:val="en-US" w:eastAsia="zh-CN"/>
        </w:rPr>
        <w:t>简述县域自然地理和社会经济发展状况，重点突出农业经济发展和农业结构调整等情况。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（二）土地利用现状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说明土地利用现状情况，重点突出耕地的数量、质量、坡度情况，永久基本农田划定和设施农业用地等情况。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（三）耕地保护情况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详细阐述上一年度国土变更调查耕地流入、流出情况，分析耕地变化主要原因。重点阐述耕地后备资源调查、可恢复为耕地资源潜力情况，耕地保有量和永久基本农田保护目标任务完成情况。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三、耕地转出情况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（一）上一年度净流出情况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highlight w:val="none"/>
          <w:u w:val="none"/>
          <w:lang w:val="en-US" w:eastAsia="zh-CN"/>
        </w:rPr>
        <w:t>阐述国务院关于“非农化”“非粮化”两通知印发后耕地净流出情况（含水田和</w:t>
      </w:r>
      <w:r>
        <w:rPr>
          <w:rFonts w:hint="default" w:ascii="Times New Roman" w:hAnsi="Times New Roman" w:eastAsia="仿宋_GB2312" w:cs="Times New Roman"/>
          <w:color w:val="auto"/>
          <w:sz w:val="32"/>
          <w:szCs w:val="32"/>
          <w:u w:val="none"/>
          <w:lang w:eastAsia="zh-CN"/>
        </w:rPr>
        <w:t>耕地质量等别等情况），明确流出地块个数、位置，分析流出原因</w:t>
      </w:r>
      <w:r>
        <w:rPr>
          <w:rFonts w:hint="default" w:ascii="Times New Roman" w:hAnsi="Times New Roman" w:eastAsia="仿宋_GB2312" w:cs="Times New Roman"/>
          <w:color w:val="auto"/>
          <w:sz w:val="32"/>
          <w:szCs w:val="32"/>
          <w:highlight w:val="none"/>
          <w:u w:val="none"/>
          <w:lang w:val="en-US" w:eastAsia="zh-CN"/>
        </w:rPr>
        <w:t>（2021年度耕地较2020年度净减少的市、县需详细阐述）</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（二）本年度耕地转出情况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分析转出耕地是否属于严禁转出范围。说明拟转出耕地数量（含水田面积）、平均质量等别、平均图斑规模大小等总体情况。</w:t>
      </w:r>
      <w:r>
        <w:rPr>
          <w:rFonts w:hint="default" w:ascii="Times New Roman" w:hAnsi="Times New Roman" w:eastAsia="仿宋_GB2312" w:cs="Times New Roman"/>
          <w:b w:val="0"/>
          <w:bCs w:val="0"/>
          <w:sz w:val="32"/>
          <w:szCs w:val="32"/>
          <w:lang w:val="en-US" w:eastAsia="zh-CN"/>
        </w:rPr>
        <w:t>拟转为园地、林地、</w:t>
      </w:r>
      <w:r>
        <w:rPr>
          <w:rFonts w:hint="default" w:ascii="Times New Roman" w:hAnsi="Times New Roman" w:eastAsia="仿宋_GB2312" w:cs="Times New Roman"/>
          <w:b w:val="0"/>
          <w:bCs w:val="0"/>
          <w:color w:val="auto"/>
          <w:sz w:val="32"/>
          <w:szCs w:val="32"/>
          <w:lang w:val="en-US" w:eastAsia="zh-CN"/>
        </w:rPr>
        <w:t>草地、水库水面、农村道路用地、农业设施建设用地等地类的情况。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kern w:val="0"/>
          <w:sz w:val="32"/>
          <w:szCs w:val="32"/>
          <w:u w:val="none"/>
          <w:lang w:eastAsia="zh-CN"/>
        </w:rPr>
        <w:t>详细阐述占</w:t>
      </w:r>
      <w:r>
        <w:rPr>
          <w:rFonts w:hint="default" w:ascii="Times New Roman" w:hAnsi="Times New Roman" w:eastAsia="仿宋_GB2312" w:cs="Times New Roman"/>
          <w:color w:val="auto"/>
          <w:kern w:val="0"/>
          <w:sz w:val="32"/>
          <w:szCs w:val="32"/>
          <w:u w:val="none"/>
        </w:rPr>
        <w:t>用耕地实施国土绿化（含绿化带），将耕地转为农业设施建设用地，将流转给工商企业等社会资本的耕地转为林地、园地等其他农用地</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新建水利水电工程中水库淹没区形成的水库水面涉及占用耕地的</w:t>
      </w:r>
      <w:r>
        <w:rPr>
          <w:rFonts w:hint="default" w:ascii="Times New Roman" w:hAnsi="Times New Roman" w:eastAsia="仿宋_GB2312" w:cs="Times New Roman"/>
          <w:color w:val="auto"/>
          <w:kern w:val="0"/>
          <w:sz w:val="32"/>
          <w:szCs w:val="32"/>
          <w:u w:val="none"/>
          <w:lang w:eastAsia="zh-CN"/>
        </w:rPr>
        <w:t>，以及其他</w:t>
      </w:r>
      <w:r>
        <w:rPr>
          <w:rFonts w:hint="default" w:ascii="Times New Roman" w:hAnsi="Times New Roman" w:eastAsia="仿宋_GB2312" w:cs="Times New Roman"/>
          <w:b w:val="0"/>
          <w:bCs w:val="0"/>
          <w:sz w:val="32"/>
          <w:szCs w:val="32"/>
          <w:lang w:val="en-US" w:eastAsia="zh-CN"/>
        </w:rPr>
        <w:t>改变耕地地类符合耕地“进出平衡”的情形。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四、耕地流入情况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分析拟流入地类是否属于严禁流入范围。说明拟流入前林地、园地、草地、农村道路、其他农用地和农业设施建设用地情况。说明拟流入前，涉及林地、草地、园地的是否经过林草部门、农业部门和其他相关部门审核。说明拟流入耕地数量（含水田面积）、平均质量等别、平均图斑规模大小等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详细阐述农户或新型农业经营主体等自行复垦、单独立项耕地恢复项目、结合土地整治或高标准农田建设一并实施耕地恢复的情况。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五、耕地年度“进出平衡”情况分析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（一）合理性和可行性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阐述</w:t>
      </w:r>
      <w:r>
        <w:rPr>
          <w:rFonts w:hint="default" w:ascii="Times New Roman" w:hAnsi="Times New Roman" w:eastAsia="仿宋_GB2312" w:cs="Times New Roman"/>
          <w:color w:val="auto"/>
          <w:kern w:val="0"/>
          <w:sz w:val="32"/>
          <w:szCs w:val="32"/>
          <w:u w:val="none"/>
        </w:rPr>
        <w:t>耕地转为其他农用地及农业设施建设用地的必要性和规模、区位的合理性，以及拟恢复耕地的可行性</w:t>
      </w:r>
      <w:r>
        <w:rPr>
          <w:rFonts w:hint="default" w:ascii="Times New Roman" w:hAnsi="Times New Roman" w:eastAsia="仿宋_GB2312" w:cs="Times New Roman"/>
          <w:color w:val="auto"/>
          <w:kern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（二）“进出平衡”数量和质量情况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auto"/>
          <w:sz w:val="32"/>
          <w:szCs w:val="32"/>
          <w:u w:val="none"/>
          <w:lang w:eastAsia="zh-CN"/>
        </w:rPr>
        <w:t>阐述按照“进大于出”原则，分析耕地转出和流入的</w:t>
      </w:r>
      <w:r>
        <w:rPr>
          <w:rFonts w:hint="default" w:ascii="Times New Roman" w:hAnsi="Times New Roman" w:eastAsia="仿宋_GB2312" w:cs="Times New Roman"/>
          <w:color w:val="auto"/>
          <w:sz w:val="32"/>
          <w:szCs w:val="32"/>
          <w:u w:val="none"/>
        </w:rPr>
        <w:t>数量</w:t>
      </w:r>
      <w:r>
        <w:rPr>
          <w:rFonts w:hint="default" w:ascii="Times New Roman" w:hAnsi="Times New Roman" w:eastAsia="仿宋_GB2312" w:cs="Times New Roman"/>
          <w:color w:val="auto"/>
          <w:kern w:val="2"/>
          <w:sz w:val="32"/>
          <w:szCs w:val="32"/>
          <w:highlight w:val="none"/>
          <w:u w:val="none"/>
          <w:lang w:val="en-US" w:eastAsia="zh-CN" w:bidi="ar-SA"/>
        </w:rPr>
        <w:t>、质量总体情况。</w:t>
      </w:r>
      <w:r>
        <w:rPr>
          <w:rFonts w:hint="default" w:ascii="Times New Roman" w:hAnsi="Times New Roman" w:eastAsia="仿宋_GB2312" w:cs="Times New Roman"/>
          <w:color w:val="auto"/>
          <w:sz w:val="32"/>
          <w:szCs w:val="32"/>
          <w:u w:val="none"/>
        </w:rPr>
        <w:t>在市域内统筹落实</w:t>
      </w:r>
      <w:r>
        <w:rPr>
          <w:rFonts w:hint="default" w:ascii="Times New Roman" w:hAnsi="Times New Roman" w:eastAsia="仿宋_GB2312" w:cs="Times New Roman"/>
          <w:color w:val="auto"/>
          <w:sz w:val="32"/>
          <w:szCs w:val="32"/>
          <w:u w:val="none"/>
          <w:lang w:eastAsia="zh-CN"/>
        </w:rPr>
        <w:t>或</w:t>
      </w:r>
      <w:r>
        <w:rPr>
          <w:rFonts w:hint="default" w:ascii="Times New Roman" w:hAnsi="Times New Roman" w:eastAsia="仿宋_GB2312" w:cs="Times New Roman"/>
          <w:color w:val="auto"/>
          <w:sz w:val="32"/>
          <w:szCs w:val="32"/>
          <w:u w:val="none"/>
        </w:rPr>
        <w:t>通过易地流转耕地恢复指标在省域内落实</w:t>
      </w:r>
      <w:r>
        <w:rPr>
          <w:rFonts w:hint="default" w:ascii="Times New Roman" w:hAnsi="Times New Roman" w:eastAsia="仿宋_GB2312" w:cs="Times New Roman"/>
          <w:color w:val="auto"/>
          <w:sz w:val="32"/>
          <w:szCs w:val="32"/>
          <w:u w:val="none"/>
          <w:lang w:eastAsia="zh-CN"/>
        </w:rPr>
        <w:t>的，市县总体方案均需明确统筹情况并附相关证明材料。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（三）时序安排情况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sz w:val="32"/>
          <w:szCs w:val="32"/>
          <w:u w:val="none"/>
          <w:lang w:eastAsia="zh-CN"/>
        </w:rPr>
        <w:t>阐述按照</w:t>
      </w:r>
      <w:r>
        <w:rPr>
          <w:rFonts w:hint="default" w:ascii="Times New Roman" w:hAnsi="Times New Roman" w:eastAsia="仿宋_GB2312" w:cs="Times New Roman"/>
          <w:color w:val="auto"/>
          <w:sz w:val="32"/>
          <w:szCs w:val="32"/>
          <w:u w:val="none"/>
        </w:rPr>
        <w:t>“以进定出”</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2"/>
          <w:sz w:val="32"/>
          <w:szCs w:val="32"/>
          <w:highlight w:val="none"/>
          <w:u w:val="none"/>
          <w:lang w:val="en-US" w:eastAsia="zh-CN" w:bidi="ar-SA"/>
        </w:rPr>
        <w:t>“先进后出”原则，制定耕地恢复计划情况，说明耕地流入和耕地转出情况时间衔接情况。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（四）其他说明情况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简述资金测算、征求相关部门意见、征求土地权利人情况及其他需要说明的情况。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b w:val="0"/>
          <w:bCs w:val="0"/>
          <w:sz w:val="32"/>
          <w:szCs w:val="32"/>
          <w:lang w:val="en-US" w:eastAsia="zh-CN"/>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主要从组织领导、资金保障、工作机制、日常监管、年度检查考核等方面提出总体方案的实施保障措施。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sz w:val="32"/>
          <w:szCs w:val="32"/>
          <w:lang w:val="en-US" w:eastAsia="zh-CN"/>
        </w:rPr>
        <w:t>七、附件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主要包括耕地转出情况表、耕地流入情况表等附表，耕地“进出平衡”布局图等图件，各地可根据实际情况，补充方案相关内容，优化相关附表、附图。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附表：1.耕地“进出平衡”耕地转出情况表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600" w:firstLineChars="5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2.耕地“进出平衡”耕地流入情况表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sectPr>
          <w:pgSz w:w="11905" w:h="16838"/>
          <w:pgMar w:top="1871" w:right="1474" w:bottom="1474" w:left="1587" w:header="851" w:footer="1361" w:gutter="0"/>
          <w:pgNumType w:fmt="decimal"/>
          <w:cols w:space="720" w:num="1"/>
          <w:rtlGutter w:val="0"/>
          <w:docGrid w:type="lines" w:linePitch="436"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附表1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880" w:firstLineChars="20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耕地“进出平衡”耕地转出情况表</w:t>
      </w:r>
    </w:p>
    <w:tbl>
      <w:tblPr>
        <w:tblStyle w:val="29"/>
        <w:tblW w:w="139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7"/>
        <w:gridCol w:w="820"/>
        <w:gridCol w:w="495"/>
        <w:gridCol w:w="494"/>
        <w:gridCol w:w="539"/>
        <w:gridCol w:w="495"/>
        <w:gridCol w:w="670"/>
        <w:gridCol w:w="494"/>
        <w:gridCol w:w="495"/>
        <w:gridCol w:w="495"/>
        <w:gridCol w:w="494"/>
        <w:gridCol w:w="583"/>
        <w:gridCol w:w="670"/>
        <w:gridCol w:w="627"/>
        <w:gridCol w:w="759"/>
        <w:gridCol w:w="495"/>
        <w:gridCol w:w="670"/>
        <w:gridCol w:w="583"/>
        <w:gridCol w:w="759"/>
        <w:gridCol w:w="760"/>
        <w:gridCol w:w="978"/>
        <w:gridCol w:w="495"/>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3993" w:type="dxa"/>
            <w:gridSpan w:val="2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行政区代码</w:t>
            </w:r>
          </w:p>
        </w:tc>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镇（街道）</w:t>
            </w:r>
          </w:p>
        </w:tc>
        <w:tc>
          <w:tcPr>
            <w:tcW w:w="269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拟转出耕地面积</w:t>
            </w:r>
          </w:p>
        </w:tc>
        <w:tc>
          <w:tcPr>
            <w:tcW w:w="461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拟转为地类面积</w:t>
            </w:r>
          </w:p>
        </w:tc>
        <w:tc>
          <w:tcPr>
            <w:tcW w:w="474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拟转出用途面积</w:t>
            </w:r>
          </w:p>
        </w:tc>
        <w:tc>
          <w:tcPr>
            <w:tcW w:w="4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i w:val="0"/>
                <w:iCs w:val="0"/>
                <w:color w:val="000000"/>
                <w:sz w:val="24"/>
                <w:szCs w:val="24"/>
                <w:u w:val="none"/>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小计</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水田</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水浇地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旱地</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平均质量等别</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小计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园地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林地</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草地</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水库水面</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农村道路用地</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其他农用地</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农业设施建设用地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小计</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农民自行转出</w:t>
            </w: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国土绿化</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农业设施建设用地</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流转给工商企业等</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新建水利水电工程水库淹没区</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w:t>
            </w:r>
          </w:p>
        </w:tc>
        <w:tc>
          <w:tcPr>
            <w:tcW w:w="4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14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备注：拟转出耕地面积为耕地净面积。</w:t>
      </w:r>
    </w:p>
    <w:p>
      <w:pPr>
        <w:pStyle w:val="5"/>
        <w:ind w:left="0" w:leftChars="0" w:firstLine="0" w:firstLineChars="0"/>
        <w:rPr>
          <w:rFonts w:hint="default" w:ascii="Times New Roman" w:hAnsi="Times New Roman" w:cs="Times New Roman"/>
        </w:rPr>
        <w:sectPr>
          <w:pgSz w:w="16838" w:h="11906" w:orient="landscape"/>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附表2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880" w:firstLineChars="20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耕地“进出平衡”耕地流入情况表</w:t>
      </w:r>
    </w:p>
    <w:tbl>
      <w:tblPr>
        <w:tblStyle w:val="29"/>
        <w:tblW w:w="139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689"/>
        <w:gridCol w:w="656"/>
        <w:gridCol w:w="655"/>
        <w:gridCol w:w="656"/>
        <w:gridCol w:w="655"/>
        <w:gridCol w:w="656"/>
        <w:gridCol w:w="655"/>
        <w:gridCol w:w="656"/>
        <w:gridCol w:w="672"/>
        <w:gridCol w:w="656"/>
        <w:gridCol w:w="657"/>
        <w:gridCol w:w="656"/>
        <w:gridCol w:w="657"/>
        <w:gridCol w:w="668"/>
        <w:gridCol w:w="656"/>
        <w:gridCol w:w="1122"/>
        <w:gridCol w:w="656"/>
        <w:gridCol w:w="991"/>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93" w:type="dxa"/>
            <w:gridSpan w:val="20"/>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6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行政区代码</w:t>
            </w:r>
          </w:p>
        </w:tc>
        <w:tc>
          <w:tcPr>
            <w:tcW w:w="68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镇（街道）</w:t>
            </w:r>
          </w:p>
        </w:tc>
        <w:tc>
          <w:tcPr>
            <w:tcW w:w="526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流入前现状地类面积</w:t>
            </w:r>
          </w:p>
        </w:tc>
        <w:tc>
          <w:tcPr>
            <w:tcW w:w="3294" w:type="dxa"/>
            <w:gridSpan w:val="5"/>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拟流入耕地面积</w:t>
            </w:r>
          </w:p>
        </w:tc>
        <w:tc>
          <w:tcPr>
            <w:tcW w:w="3425"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cs="Times New Roman"/>
                <w:b/>
                <w:bCs/>
                <w:i w:val="0"/>
                <w:iCs w:val="0"/>
                <w:color w:val="000000"/>
                <w:kern w:val="0"/>
                <w:sz w:val="24"/>
                <w:szCs w:val="24"/>
                <w:u w:val="none"/>
                <w:lang w:val="en-US" w:eastAsia="zh-CN" w:bidi="ar"/>
              </w:rPr>
              <w:t>各类</w:t>
            </w:r>
            <w:r>
              <w:rPr>
                <w:rFonts w:hint="default" w:ascii="Times New Roman" w:hAnsi="Times New Roman" w:eastAsia="宋体" w:cs="Times New Roman"/>
                <w:b/>
                <w:bCs/>
                <w:i w:val="0"/>
                <w:iCs w:val="0"/>
                <w:color w:val="000000"/>
                <w:kern w:val="0"/>
                <w:sz w:val="24"/>
                <w:szCs w:val="24"/>
                <w:u w:val="none"/>
                <w:lang w:val="en-US" w:eastAsia="zh-CN" w:bidi="ar"/>
              </w:rPr>
              <w:t>途径流入</w:t>
            </w:r>
            <w:r>
              <w:rPr>
                <w:rFonts w:hint="default" w:ascii="Times New Roman" w:hAnsi="Times New Roman" w:cs="Times New Roman"/>
                <w:b/>
                <w:bCs/>
                <w:i w:val="0"/>
                <w:iCs w:val="0"/>
                <w:color w:val="000000"/>
                <w:kern w:val="0"/>
                <w:sz w:val="24"/>
                <w:szCs w:val="24"/>
                <w:u w:val="none"/>
                <w:lang w:val="en-US" w:eastAsia="zh-CN" w:bidi="ar"/>
              </w:rPr>
              <w:t>面积</w:t>
            </w:r>
          </w:p>
        </w:tc>
        <w:tc>
          <w:tcPr>
            <w:tcW w:w="6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lang w:eastAsia="zh-CN"/>
              </w:rPr>
            </w:pPr>
            <w:r>
              <w:rPr>
                <w:rFonts w:hint="default" w:ascii="Times New Roman" w:hAnsi="Times New Roman" w:cs="Times New Roman"/>
                <w:b/>
                <w:bCs/>
                <w:i w:val="0"/>
                <w:iCs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65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i w:val="0"/>
                <w:iCs w:val="0"/>
                <w:color w:val="000000"/>
                <w:sz w:val="24"/>
                <w:szCs w:val="24"/>
                <w:u w:val="none"/>
              </w:rPr>
            </w:pPr>
          </w:p>
        </w:tc>
        <w:tc>
          <w:tcPr>
            <w:tcW w:w="68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default" w:ascii="Times New Roman" w:hAnsi="Times New Roman" w:eastAsia="宋体" w:cs="Times New Roman"/>
                <w:b/>
                <w:bCs/>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小计</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园地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林地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草地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农村道路用地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其他农用地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农业设施建设用地</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其他</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小计</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水田</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水浇地</w:t>
            </w: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旱地</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平均质量等别</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小计</w:t>
            </w: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农户或新型农业经营主体自行复垦</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单独立项</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土地综合整治或高标准农田</w:t>
            </w:r>
          </w:p>
        </w:tc>
        <w:tc>
          <w:tcPr>
            <w:tcW w:w="6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3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right="0"/>
        <w:jc w:val="left"/>
        <w:textAlignment w:val="auto"/>
        <w:rPr>
          <w:rFonts w:hint="default" w:ascii="Times New Roman" w:hAnsi="Times New Roman" w:cs="Times New Roman"/>
          <w:lang w:val="en-US" w:eastAsia="zh-CN"/>
        </w:rPr>
        <w:sectPr>
          <w:pgSz w:w="16838" w:h="11905" w:orient="landscape"/>
          <w:pgMar w:top="2098" w:right="1474" w:bottom="1984" w:left="1587" w:header="851" w:footer="992" w:gutter="0"/>
          <w:pgNumType w:fmt="decimal"/>
          <w:cols w:space="720" w:num="1"/>
          <w:rtlGutter w:val="0"/>
          <w:docGrid w:type="lines" w:linePitch="436" w:charSpace="0"/>
        </w:sectPr>
      </w:pPr>
      <w:r>
        <w:rPr>
          <w:rFonts w:hint="default" w:ascii="Times New Roman" w:hAnsi="Times New Roman" w:eastAsia="宋体" w:cs="Times New Roman"/>
          <w:i w:val="0"/>
          <w:iCs w:val="0"/>
          <w:color w:val="000000"/>
          <w:kern w:val="0"/>
          <w:sz w:val="24"/>
          <w:szCs w:val="24"/>
          <w:highlight w:val="none"/>
          <w:u w:val="none"/>
          <w:lang w:val="en-US" w:eastAsia="zh-CN" w:bidi="ar"/>
        </w:rPr>
        <w:t>备注：拟转出耕地面积为耕地净面积。</w:t>
      </w: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eastAsia="zh-CN"/>
        </w:rPr>
      </w:pPr>
      <w:r>
        <w:rPr>
          <w:rFonts w:hint="default" w:ascii="Times New Roman" w:hAnsi="Times New Roman" w:eastAsia="黑体" w:cs="Times New Roman"/>
          <w:color w:val="auto"/>
          <w:kern w:val="0"/>
          <w:sz w:val="32"/>
          <w:szCs w:val="32"/>
          <w:u w:val="none"/>
          <w:lang w:val="en-US" w:eastAsia="zh-CN"/>
        </w:rPr>
        <w:t>附件2</w:t>
      </w: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auto"/>
          <w:kern w:val="0"/>
          <w:sz w:val="44"/>
          <w:szCs w:val="44"/>
          <w:u w:val="none"/>
          <w:lang w:eastAsia="zh-CN"/>
        </w:rPr>
      </w:pPr>
      <w:r>
        <w:rPr>
          <w:rFonts w:hint="default" w:ascii="Times New Roman" w:hAnsi="Times New Roman" w:eastAsia="方正小标宋简体" w:cs="Times New Roman"/>
          <w:color w:val="auto"/>
          <w:kern w:val="0"/>
          <w:sz w:val="44"/>
          <w:szCs w:val="44"/>
          <w:u w:val="none"/>
          <w:lang w:eastAsia="zh-CN"/>
        </w:rPr>
        <w:t>方案编报和审批流程</w:t>
      </w:r>
      <w:r>
        <w:rPr>
          <w:rFonts w:hint="eastAsia" w:ascii="Times New Roman" w:hAnsi="Times New Roman" w:eastAsia="方正小标宋简体" w:cs="Times New Roman"/>
          <w:color w:val="auto"/>
          <w:kern w:val="0"/>
          <w:sz w:val="44"/>
          <w:szCs w:val="44"/>
          <w:u w:val="none"/>
          <w:lang w:eastAsia="zh-CN"/>
        </w:rPr>
        <w:t>示意</w:t>
      </w:r>
      <w:r>
        <w:rPr>
          <w:rFonts w:hint="default" w:ascii="Times New Roman" w:hAnsi="Times New Roman" w:eastAsia="方正小标宋简体" w:cs="Times New Roman"/>
          <w:color w:val="auto"/>
          <w:kern w:val="0"/>
          <w:sz w:val="44"/>
          <w:szCs w:val="44"/>
          <w:u w:val="none"/>
          <w:lang w:eastAsia="zh-CN"/>
        </w:rPr>
        <w:t>图</w:t>
      </w: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val="en-US"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200025</wp:posOffset>
            </wp:positionV>
            <wp:extent cx="5455285" cy="6993255"/>
            <wp:effectExtent l="0" t="0" r="5715" b="4445"/>
            <wp:wrapNone/>
            <wp:docPr id="1" name="图片 6" descr="耕地年度进出平衡总体方案编报和审批流程图0804（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耕地年度进出平衡总体方案编报和审批流程图0804（3）_00"/>
                    <pic:cNvPicPr>
                      <a:picLocks noChangeAspect="1"/>
                    </pic:cNvPicPr>
                  </pic:nvPicPr>
                  <pic:blipFill>
                    <a:blip r:embed="rId6"/>
                    <a:srcRect l="2641" t="7452" b="6149"/>
                    <a:stretch>
                      <a:fillRect/>
                    </a:stretch>
                  </pic:blipFill>
                  <pic:spPr>
                    <a:xfrm>
                      <a:off x="0" y="0"/>
                      <a:ext cx="5455285" cy="6993255"/>
                    </a:xfrm>
                    <a:prstGeom prst="rect">
                      <a:avLst/>
                    </a:prstGeom>
                    <a:noFill/>
                    <a:ln>
                      <a:noFill/>
                    </a:ln>
                  </pic:spPr>
                </pic:pic>
              </a:graphicData>
            </a:graphic>
          </wp:anchor>
        </w:drawing>
      </w: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sectPr>
          <w:footerReference r:id="rId3" w:type="default"/>
          <w:pgSz w:w="11906" w:h="16838"/>
          <w:pgMar w:top="1871" w:right="1474" w:bottom="1474" w:left="1587" w:header="851" w:footer="1361" w:gutter="0"/>
          <w:pgNumType w:fmt="decimal"/>
          <w:cols w:space="720" w:num="1"/>
          <w:rtlGutter w:val="0"/>
          <w:docGrid w:type="lines" w:linePitch="312" w:charSpace="0"/>
        </w:sect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val="en-US" w:eastAsia="zh-CN"/>
        </w:rPr>
        <w:t>附件3</w:t>
      </w: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auto"/>
          <w:kern w:val="0"/>
          <w:sz w:val="32"/>
          <w:szCs w:val="32"/>
          <w:u w:val="none"/>
          <w:lang w:val="en-US" w:eastAsia="zh-CN"/>
        </w:rPr>
      </w:pPr>
    </w:p>
    <w:p>
      <w:pPr>
        <w:pStyle w:val="25"/>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auto"/>
          <w:kern w:val="0"/>
          <w:sz w:val="44"/>
          <w:szCs w:val="44"/>
          <w:u w:val="none"/>
          <w:lang w:eastAsia="zh-CN"/>
        </w:rPr>
      </w:pPr>
      <w:r>
        <w:rPr>
          <w:rFonts w:hint="default" w:ascii="Times New Roman" w:hAnsi="Times New Roman" w:eastAsia="方正小标宋简体" w:cs="Times New Roman"/>
          <w:color w:val="auto"/>
          <w:kern w:val="0"/>
          <w:sz w:val="44"/>
          <w:szCs w:val="44"/>
          <w:u w:val="none"/>
          <w:lang w:val="en-US" w:eastAsia="zh-CN"/>
        </w:rPr>
        <w:t>成果数据汇交要求</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黑体"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一、数据内容及格式要求</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汇交数据内容</w:t>
      </w:r>
      <w:r>
        <w:rPr>
          <w:rFonts w:hint="default" w:ascii="Times New Roman" w:hAnsi="Times New Roman" w:eastAsia="仿宋_GB2312" w:cs="Times New Roman"/>
          <w:sz w:val="32"/>
          <w:szCs w:val="32"/>
          <w:highlight w:val="none"/>
          <w:lang w:eastAsia="zh-CN"/>
        </w:rPr>
        <w:t>包括矢量数据库、报告文本、相关表格、有关图件等</w:t>
      </w:r>
      <w:r>
        <w:rPr>
          <w:rFonts w:hint="default" w:ascii="Times New Roman" w:hAnsi="Times New Roman" w:eastAsia="仿宋_GB2312" w:cs="Times New Roman"/>
          <w:sz w:val="32"/>
          <w:szCs w:val="32"/>
          <w:highlight w:val="none"/>
          <w:lang w:val="en-US" w:eastAsia="zh-CN"/>
        </w:rPr>
        <w:t>内容，</w:t>
      </w:r>
      <w:r>
        <w:rPr>
          <w:rFonts w:hint="default" w:ascii="Times New Roman" w:hAnsi="Times New Roman" w:eastAsia="仿宋_GB2312" w:cs="Times New Roman"/>
          <w:sz w:val="32"/>
          <w:szCs w:val="32"/>
          <w:highlight w:val="none"/>
          <w:lang w:eastAsia="zh-CN"/>
        </w:rPr>
        <w:t>详见下</w:t>
      </w:r>
      <w:r>
        <w:rPr>
          <w:rFonts w:hint="default" w:ascii="Times New Roman" w:hAnsi="Times New Roman" w:eastAsia="仿宋_GB2312" w:cs="Times New Roman"/>
          <w:sz w:val="32"/>
          <w:szCs w:val="32"/>
          <w:highlight w:val="none"/>
        </w:rPr>
        <w:t>表1。所有成果必须同时提交。</w:t>
      </w:r>
    </w:p>
    <w:p>
      <w:pPr>
        <w:pStyle w:val="28"/>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表1</w:t>
      </w:r>
      <w:r>
        <w:rPr>
          <w:rFonts w:hint="default" w:ascii="Times New Roman" w:hAnsi="Times New Roman" w:cs="Times New Roman"/>
          <w:b/>
          <w:bCs/>
          <w:kern w:val="2"/>
          <w:sz w:val="28"/>
          <w:szCs w:val="28"/>
          <w:highlight w:val="none"/>
          <w:lang w:val="en-US" w:eastAsia="zh-CN" w:bidi="ar-SA"/>
        </w:rPr>
        <w:t>.</w:t>
      </w:r>
      <w:r>
        <w:rPr>
          <w:rFonts w:hint="default" w:ascii="Times New Roman" w:hAnsi="Times New Roman" w:eastAsia="仿宋_GB2312" w:cs="Times New Roman"/>
          <w:b/>
          <w:bCs/>
          <w:kern w:val="2"/>
          <w:sz w:val="28"/>
          <w:szCs w:val="28"/>
          <w:highlight w:val="none"/>
          <w:lang w:val="en-US" w:eastAsia="zh-CN" w:bidi="ar-SA"/>
        </w:rPr>
        <w:t>汇交数据内容</w:t>
      </w:r>
    </w:p>
    <w:tbl>
      <w:tblPr>
        <w:tblStyle w:val="29"/>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54"/>
        <w:gridCol w:w="3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数据图层（报告、表）</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类型</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耕地转出图层</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面层矢量</w:t>
            </w:r>
          </w:p>
        </w:tc>
        <w:tc>
          <w:tcPr>
            <w:tcW w:w="307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i w:val="0"/>
                <w:iCs w:val="0"/>
                <w:color w:val="000000"/>
                <w:sz w:val="28"/>
                <w:szCs w:val="28"/>
                <w:u w:val="none"/>
                <w:lang w:val="en-US" w:eastAsia="zh-CN"/>
              </w:rPr>
            </w:pPr>
            <w:r>
              <w:rPr>
                <w:rFonts w:hint="default" w:ascii="Times New Roman" w:hAnsi="Times New Roman" w:eastAsia="仿宋_GB2312" w:cs="Times New Roman"/>
                <w:i w:val="0"/>
                <w:iCs w:val="0"/>
                <w:color w:val="000000"/>
                <w:sz w:val="28"/>
                <w:szCs w:val="28"/>
                <w:u w:val="none"/>
                <w:lang w:val="en-US" w:eastAsia="zh-CN"/>
              </w:rPr>
              <w:t>Shp格式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耕地流入图层</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面层矢量</w:t>
            </w:r>
          </w:p>
        </w:tc>
        <w:tc>
          <w:tcPr>
            <w:tcW w:w="307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z w:val="28"/>
                <w:szCs w:val="28"/>
                <w:u w:val="none"/>
                <w:lang w:val="en-US" w:eastAsia="zh-CN"/>
              </w:rPr>
              <w:t>Shp格式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市级耕地年度“进出平衡”总体方案</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PDF</w:t>
            </w:r>
          </w:p>
        </w:tc>
        <w:tc>
          <w:tcPr>
            <w:tcW w:w="307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仿宋_GB2312" w:cs="Times New Roman"/>
                <w:i w:val="0"/>
                <w:iCs w:val="0"/>
                <w:color w:val="000000"/>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sz w:val="28"/>
                <w:szCs w:val="28"/>
                <w:u w:val="none"/>
                <w:lang w:val="en-US" w:eastAsia="zh-CN"/>
              </w:rPr>
              <w:t>县</w:t>
            </w:r>
            <w:r>
              <w:rPr>
                <w:rFonts w:hint="default" w:ascii="Times New Roman" w:hAnsi="Times New Roman" w:eastAsia="仿宋_GB2312" w:cs="Times New Roman"/>
                <w:i w:val="0"/>
                <w:iCs w:val="0"/>
                <w:color w:val="000000"/>
                <w:sz w:val="28"/>
                <w:szCs w:val="28"/>
                <w:u w:val="none"/>
              </w:rPr>
              <w:t>级耕地年度</w:t>
            </w:r>
            <w:r>
              <w:rPr>
                <w:rFonts w:hint="default" w:ascii="Times New Roman" w:hAnsi="Times New Roman" w:eastAsia="仿宋_GB2312" w:cs="Times New Roman"/>
                <w:i w:val="0"/>
                <w:iCs w:val="0"/>
                <w:color w:val="000000"/>
                <w:sz w:val="28"/>
                <w:szCs w:val="28"/>
                <w:u w:val="none"/>
                <w:lang w:eastAsia="zh-CN"/>
              </w:rPr>
              <w:t>“进出平衡”</w:t>
            </w:r>
            <w:r>
              <w:rPr>
                <w:rFonts w:hint="default" w:ascii="Times New Roman" w:hAnsi="Times New Roman" w:eastAsia="仿宋_GB2312" w:cs="Times New Roman"/>
                <w:i w:val="0"/>
                <w:iCs w:val="0"/>
                <w:color w:val="000000"/>
                <w:sz w:val="28"/>
                <w:szCs w:val="28"/>
                <w:u w:val="none"/>
              </w:rPr>
              <w:t>总体方案</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PDF</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
              </w:rPr>
              <w:t>需提交经市级审批的“进出平衡”方案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县级论证意见</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PDF</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盖章扫描版本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市级审查意见</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PDF</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盖章扫描版本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市级备案请示</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PDF</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盖章扫描版本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XX县或市XX年度耕地“进出平衡”耕地转出情况表</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Excel</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含县级和市级转出情况表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XX县或市XX年度耕地“进出平衡”耕地流入情况表</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Excel</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含县级和市级流入情况表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市级行政区XX年度耕地“进出平衡”布局图</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JPEG</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县级行政区XX年度耕地“进出平衡”布局图</w:t>
            </w:r>
          </w:p>
        </w:tc>
        <w:tc>
          <w:tcPr>
            <w:tcW w:w="21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r>
              <w:rPr>
                <w:rFonts w:hint="default" w:ascii="Times New Roman" w:hAnsi="Times New Roman" w:eastAsia="仿宋_GB2312" w:cs="Times New Roman"/>
                <w:i w:val="0"/>
                <w:iCs w:val="0"/>
                <w:color w:val="000000"/>
                <w:kern w:val="0"/>
                <w:sz w:val="28"/>
                <w:szCs w:val="28"/>
                <w:u w:val="none"/>
                <w:lang w:val="en-US" w:eastAsia="zh-CN" w:bidi="ar"/>
              </w:rPr>
              <w:t>JPEG</w:t>
            </w:r>
          </w:p>
        </w:tc>
        <w:tc>
          <w:tcPr>
            <w:tcW w:w="307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Times New Roman" w:hAnsi="Times New Roman" w:eastAsia="仿宋_GB2312" w:cs="Times New Roman"/>
                <w:i w:val="0"/>
                <w:iCs w:val="0"/>
                <w:color w:val="000000"/>
                <w:kern w:val="0"/>
                <w:sz w:val="28"/>
                <w:szCs w:val="28"/>
                <w:u w:val="none"/>
                <w:lang w:val="en-US" w:eastAsia="zh-CN" w:bidi="ar"/>
              </w:rPr>
            </w:pP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b w:val="0"/>
          <w:color w:val="auto"/>
          <w:kern w:val="0"/>
          <w:sz w:val="32"/>
          <w:szCs w:val="32"/>
          <w:u w:val="none"/>
          <w:lang w:val="en-US" w:eastAsia="zh-CN" w:bidi="ar-SA"/>
        </w:rPr>
      </w:pPr>
      <w:r>
        <w:rPr>
          <w:rFonts w:hint="default" w:ascii="Times New Roman" w:hAnsi="Times New Roman" w:eastAsia="仿宋_GB2312" w:cs="Times New Roman"/>
          <w:b w:val="0"/>
          <w:color w:val="auto"/>
          <w:kern w:val="0"/>
          <w:sz w:val="32"/>
          <w:szCs w:val="32"/>
          <w:u w:val="none"/>
          <w:lang w:val="en-US" w:eastAsia="zh-CN" w:bidi="ar-SA"/>
        </w:rPr>
        <w:t>（一）矢量图层数据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耕地转出和耕地流入图层矢量数据均采用shp文件格式。耕地转出图层矢量数据文件名称按照“县级行政区代码”+“GDZC.shp”的规则命名；耕地流入图层矢量数据文件名称按照“县级行政区代码”+“GDLR.shp”的规则命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u w:val="none"/>
          <w:lang w:val="en-US" w:eastAsia="zh-CN" w:bidi="ar-SA"/>
        </w:rPr>
        <w:t>矢量图层数据属性结构依据《国土调查数据库标准》(TD/T1057-2020)中地类图斑属性表结构建设，耕地转出图层属性结构详见下表2。耕地流入图层属性结构详见下表3。</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562" w:firstLineChars="200"/>
        <w:jc w:val="center"/>
        <w:textAlignment w:val="auto"/>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表2.耕地转出图层属性结构描述表（属性表名：GDZC）</w:t>
      </w:r>
    </w:p>
    <w:tbl>
      <w:tblPr>
        <w:tblStyle w:val="2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31"/>
        <w:gridCol w:w="1034"/>
        <w:gridCol w:w="990"/>
        <w:gridCol w:w="973"/>
        <w:gridCol w:w="1000"/>
        <w:gridCol w:w="806"/>
        <w:gridCol w:w="98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5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序号</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字段代码</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字段类型</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字段长度</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小数位数</w:t>
            </w:r>
          </w:p>
        </w:tc>
        <w:tc>
          <w:tcPr>
            <w:tcW w:w="80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值域</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约束条件</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标识码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BSM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本表注1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要素代码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YSDM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b w:val="0"/>
                <w:bCs w:val="0"/>
                <w:i w:val="0"/>
                <w:iCs w:val="0"/>
                <w:color w:val="000000"/>
                <w:kern w:val="0"/>
                <w:sz w:val="18"/>
                <w:szCs w:val="18"/>
                <w:highlight w:val="none"/>
                <w:u w:val="none"/>
                <w:lang w:val="en-US" w:eastAsia="zh-CN" w:bidi="ar"/>
              </w:rPr>
              <w:t>图斑预编号</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TBYBH</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O</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图斑编号</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TBBH</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地类编码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DLBM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地类名称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DLMC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权属性质</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QSXZ</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权属单位代码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QSDWDM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权属单位名称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QSDWMC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坐落单位代码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ZLDWDM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坐落单位名称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ZLDWMC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图斑面积</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TBMJ</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06"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扣除地类编码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KCDLBM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本表注1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扣除地类系数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KCXS</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806"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扣除地类面积</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KCMJ</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06"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图斑地类面积</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TBDLMJ</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06"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耕地类型</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GDLX</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本表注1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耕地坡度级别</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GDPDJB</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19</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图斑细化代码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TBXHDM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图斑细化名称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TBXHMC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种植属性代码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ZZSXDM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种植属性名称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ZZSXMC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耕地等别</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GDDB</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Int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auto"/>
                <w:sz w:val="18"/>
                <w:szCs w:val="18"/>
                <w:highlight w:val="none"/>
                <w:u w:val="none"/>
              </w:rPr>
            </w:pPr>
          </w:p>
        </w:tc>
        <w:tc>
          <w:tcPr>
            <w:tcW w:w="806"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&gt;0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24</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飞入地标识</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FRDBS</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数据年份</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SJNF</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Int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26</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转出地块编号</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ZCDKBH</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27</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权利人</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QLR</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28</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申报单位</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SBDW</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29</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拟转出用途</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NZCYTFL</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拟转出地类编码</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NZCDLBM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拟转出地类名称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NZCDLMC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yellow"/>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yellow"/>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yellow"/>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32</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项目名称</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XMMC</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yellow"/>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33</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项目批复部门</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XMPFBM</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yellow"/>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34</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项目批复总面积</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XMPFZMJ</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06"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yellow"/>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35</w:t>
            </w:r>
          </w:p>
        </w:tc>
        <w:tc>
          <w:tcPr>
            <w:tcW w:w="1531"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备注</w:t>
            </w:r>
          </w:p>
        </w:tc>
        <w:tc>
          <w:tcPr>
            <w:tcW w:w="1034"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BZ</w:t>
            </w:r>
          </w:p>
        </w:tc>
        <w:tc>
          <w:tcPr>
            <w:tcW w:w="99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973"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806"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061"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注1.字段属性来源于基期年变更调查数据库。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注2.转出地块编号由“转出乡镇代码（9位）+转出年份（4位）+ZC+五位编号”构成，例如：“5101011032022ZC00001”,编号县域内具有唯一性。</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注3.权利人填写单位名称或者承包人姓名。</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注4.涉及农村集体土地的，申报单位为发包方；涉及其他土地的，申报单位为实施单位或者经营者。</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注5.地块为农民个人在自己承包地上自行转出的填写“ZC01”；地块为占用耕地实施国土绿化（含绿化带）的填写“ZC02”；地块为转为农业设施建设用地的填写“ZC03”；</w:t>
            </w:r>
            <w:r>
              <w:rPr>
                <w:rFonts w:hint="default" w:ascii="Times New Roman" w:hAnsi="Times New Roman" w:eastAsia="宋体" w:cs="Times New Roman"/>
                <w:i w:val="0"/>
                <w:iCs w:val="0"/>
                <w:color w:val="auto"/>
                <w:kern w:val="0"/>
                <w:sz w:val="18"/>
                <w:szCs w:val="18"/>
                <w:highlight w:val="none"/>
                <w:u w:val="none"/>
                <w:lang w:val="en-US" w:eastAsia="zh-CN" w:bidi="ar"/>
              </w:rPr>
              <w:t>地块为流转给工商企业等社会资本转出的填写“ZC04”；</w:t>
            </w:r>
            <w:r>
              <w:rPr>
                <w:rFonts w:hint="default" w:ascii="Times New Roman" w:hAnsi="Times New Roman" w:eastAsia="宋体" w:cs="Times New Roman"/>
                <w:i w:val="0"/>
                <w:iCs w:val="0"/>
                <w:color w:val="000000"/>
                <w:kern w:val="0"/>
                <w:sz w:val="18"/>
                <w:szCs w:val="18"/>
                <w:highlight w:val="none"/>
                <w:u w:val="none"/>
                <w:lang w:val="en-US" w:eastAsia="zh-CN" w:bidi="ar"/>
              </w:rPr>
              <w:t>地块为新建水利水电工程中水库淹没区转出的填写“ZC05”；地块为其他转出的填写“ZC06”。</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注6.填写至拟转出地类的二级类。</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8"/>
                <w:szCs w:val="18"/>
                <w:highlight w:val="none"/>
                <w:u w:val="none"/>
                <w:lang w:val="en-US"/>
              </w:rPr>
            </w:pPr>
            <w:r>
              <w:rPr>
                <w:rFonts w:hint="default" w:ascii="Times New Roman" w:hAnsi="Times New Roman" w:eastAsia="宋体" w:cs="Times New Roman"/>
                <w:i w:val="0"/>
                <w:iCs w:val="0"/>
                <w:color w:val="000000"/>
                <w:kern w:val="0"/>
                <w:sz w:val="18"/>
                <w:szCs w:val="18"/>
                <w:highlight w:val="none"/>
                <w:u w:val="none"/>
                <w:lang w:val="en-US" w:eastAsia="zh-CN" w:bidi="ar"/>
              </w:rPr>
              <w:t>注7.填写项目批复的相关部门，如“交通”、“水利”、“农业”、“林业”、“发改”、“其他”。</w:t>
            </w:r>
          </w:p>
        </w:tc>
      </w:tr>
    </w:tbl>
    <w:p>
      <w:pPr>
        <w:pStyle w:val="28"/>
        <w:keepNext w:val="0"/>
        <w:keepLines w:val="0"/>
        <w:pageBreakBefore w:val="0"/>
        <w:widowControl w:val="0"/>
        <w:kinsoku/>
        <w:wordWrap/>
        <w:overflowPunct/>
        <w:topLinePunct w:val="0"/>
        <w:autoSpaceDE/>
        <w:autoSpaceDN/>
        <w:bidi w:val="0"/>
        <w:adjustRightInd/>
        <w:snapToGrid/>
        <w:spacing w:before="313" w:beforeLines="100" w:after="0" w:afterLines="50" w:line="320" w:lineRule="exact"/>
        <w:ind w:left="0" w:leftChars="0" w:firstLine="0" w:firstLineChars="0"/>
        <w:jc w:val="center"/>
        <w:textAlignment w:val="auto"/>
        <w:rPr>
          <w:rFonts w:hint="default" w:ascii="Times New Roman" w:hAnsi="Times New Roman" w:eastAsia="仿宋_GB2312" w:cs="Times New Roman"/>
          <w:b/>
          <w:bCs/>
          <w:kern w:val="2"/>
          <w:sz w:val="28"/>
          <w:szCs w:val="28"/>
          <w:highlight w:val="none"/>
          <w:lang w:val="en-US" w:eastAsia="zh-CN" w:bidi="ar-SA"/>
        </w:rPr>
      </w:pPr>
      <w:r>
        <w:rPr>
          <w:rFonts w:hint="default" w:ascii="Times New Roman" w:hAnsi="Times New Roman" w:eastAsia="仿宋_GB2312" w:cs="Times New Roman"/>
          <w:b/>
          <w:bCs/>
          <w:kern w:val="2"/>
          <w:sz w:val="28"/>
          <w:szCs w:val="28"/>
          <w:highlight w:val="none"/>
          <w:lang w:val="en-US" w:eastAsia="zh-CN" w:bidi="ar-SA"/>
        </w:rPr>
        <w:t>表3</w:t>
      </w:r>
      <w:r>
        <w:rPr>
          <w:rFonts w:hint="default" w:ascii="Times New Roman" w:hAnsi="Times New Roman" w:cs="Times New Roman"/>
          <w:b/>
          <w:bCs/>
          <w:kern w:val="2"/>
          <w:sz w:val="28"/>
          <w:szCs w:val="28"/>
          <w:highlight w:val="none"/>
          <w:lang w:val="en-US" w:eastAsia="zh-CN" w:bidi="ar-SA"/>
        </w:rPr>
        <w:t>.</w:t>
      </w:r>
      <w:r>
        <w:rPr>
          <w:rFonts w:hint="default" w:ascii="Times New Roman" w:hAnsi="Times New Roman" w:eastAsia="仿宋_GB2312" w:cs="Times New Roman"/>
          <w:b/>
          <w:bCs/>
          <w:kern w:val="2"/>
          <w:sz w:val="28"/>
          <w:szCs w:val="28"/>
          <w:highlight w:val="none"/>
          <w:lang w:val="en-US" w:eastAsia="zh-CN" w:bidi="ar-SA"/>
        </w:rPr>
        <w:t>耕地流入图层属性结构描述表（属性表名：GDLR）</w:t>
      </w:r>
    </w:p>
    <w:tbl>
      <w:tblPr>
        <w:tblStyle w:val="2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10"/>
        <w:gridCol w:w="987"/>
        <w:gridCol w:w="788"/>
        <w:gridCol w:w="830"/>
        <w:gridCol w:w="1000"/>
        <w:gridCol w:w="819"/>
        <w:gridCol w:w="98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5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序号</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字段代码</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字段类型</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字段长度</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小数位数</w:t>
            </w:r>
          </w:p>
        </w:tc>
        <w:tc>
          <w:tcPr>
            <w:tcW w:w="81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值域</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约束条件</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sz w:val="18"/>
                <w:szCs w:val="18"/>
                <w:highlight w:val="none"/>
                <w:u w:val="none"/>
              </w:rPr>
            </w:pPr>
            <w:r>
              <w:rPr>
                <w:rFonts w:hint="default" w:ascii="Times New Roman" w:hAnsi="Times New Roman" w:eastAsia="宋体" w:cs="Times New Roman"/>
                <w:b/>
                <w:bCs/>
                <w:i w:val="0"/>
                <w:iCs w:val="0"/>
                <w:color w:val="000000"/>
                <w:kern w:val="0"/>
                <w:sz w:val="18"/>
                <w:szCs w:val="18"/>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标识码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BSM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本表注1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要素代码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YSDM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b w:val="0"/>
                <w:bCs w:val="0"/>
                <w:i w:val="0"/>
                <w:iCs w:val="0"/>
                <w:color w:val="000000"/>
                <w:kern w:val="0"/>
                <w:sz w:val="18"/>
                <w:szCs w:val="18"/>
                <w:highlight w:val="none"/>
                <w:u w:val="none"/>
                <w:lang w:val="en-US" w:eastAsia="zh-CN" w:bidi="ar"/>
              </w:rPr>
              <w:t>图斑预编号</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TBYBH</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O</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图斑编号</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TBBH</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地类编码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DLBM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地类名称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DLMC</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权属性质</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QSXZ</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权属单位代码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QSDWDM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权属单位名称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QSDWMC</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坐落单位代码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ZLDWDM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19</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坐落单位名称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ZLDWMC</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图斑面积</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TBMJ</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扣除地类编码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KCDLBM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本表注1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14</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扣除地类系数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KCXS</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[0，1]</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扣除地类面积</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KCMJ</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图斑地类面积</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TBDLMJ</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单位:m²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17</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耕地类型</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GDLX</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sz w:val="18"/>
                <w:szCs w:val="18"/>
                <w:highlight w:val="none"/>
                <w:u w:val="none"/>
                <w:lang w:val="en-US" w:eastAsia="zh-CN"/>
              </w:rPr>
              <w:t>本表注1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18</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耕地坡度级别</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GDPDJB</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19</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图斑细化代码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TBXHDM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图斑细化名称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TBXHMC</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21</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种植属性代码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ZZSXDM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22</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种植属性名称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ZZSXMC</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23</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耕地等别</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GDDB</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Int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&gt;0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24</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飞入地标识</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FRDBS</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数据年份</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SJNF</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Int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26</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流入地块编号</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LRDKBH</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27</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流入途径</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LRTJ</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28</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拟流入地类编码</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NLRDLBM</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29</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拟流入地类名称</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NLRDLMC</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30</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拟流入耕地质量等别</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NLRGDDB</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Int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kern w:val="2"/>
                <w:sz w:val="18"/>
                <w:szCs w:val="18"/>
                <w:highlight w:val="none"/>
                <w:u w:val="none"/>
                <w:lang w:val="en-US" w:eastAsia="zh-CN" w:bidi="ar-SA"/>
              </w:rPr>
            </w:pP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&gt;0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C</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31</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拟流入耕地净面积</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NLRGDJMJ</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Float</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00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2"/>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81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w:t>
            </w: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32</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权利人</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QLR</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60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33</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拟完成时间</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NWCSJ</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M</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none"/>
                <w:u w:val="none"/>
                <w:lang w:val="en-US" w:eastAsia="zh-CN"/>
              </w:rPr>
            </w:pPr>
            <w:r>
              <w:rPr>
                <w:rFonts w:hint="default" w:ascii="Times New Roman" w:hAnsi="Times New Roman" w:eastAsia="宋体" w:cs="Times New Roman"/>
                <w:i w:val="0"/>
                <w:iCs w:val="0"/>
                <w:color w:val="000000"/>
                <w:sz w:val="18"/>
                <w:szCs w:val="18"/>
                <w:highlight w:val="none"/>
                <w:u w:val="none"/>
                <w:lang w:val="en-US" w:eastAsia="zh-CN"/>
              </w:rPr>
              <w:t>本表注5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exact"/>
        </w:trPr>
        <w:tc>
          <w:tcPr>
            <w:tcW w:w="65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34</w:t>
            </w:r>
          </w:p>
        </w:tc>
        <w:tc>
          <w:tcPr>
            <w:tcW w:w="191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备注</w:t>
            </w:r>
          </w:p>
        </w:tc>
        <w:tc>
          <w:tcPr>
            <w:tcW w:w="98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BZ</w:t>
            </w:r>
          </w:p>
        </w:tc>
        <w:tc>
          <w:tcPr>
            <w:tcW w:w="788"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Char</w:t>
            </w:r>
          </w:p>
        </w:tc>
        <w:tc>
          <w:tcPr>
            <w:tcW w:w="830"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255</w:t>
            </w:r>
          </w:p>
        </w:tc>
        <w:tc>
          <w:tcPr>
            <w:tcW w:w="1000"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i w:val="0"/>
                <w:iCs w:val="0"/>
                <w:color w:val="000000"/>
                <w:sz w:val="18"/>
                <w:szCs w:val="18"/>
                <w:highlight w:val="none"/>
                <w:u w:val="none"/>
              </w:rPr>
            </w:pPr>
          </w:p>
        </w:tc>
        <w:tc>
          <w:tcPr>
            <w:tcW w:w="98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O</w:t>
            </w:r>
          </w:p>
        </w:tc>
        <w:tc>
          <w:tcPr>
            <w:tcW w:w="1079"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000000"/>
                <w:sz w:val="18"/>
                <w:szCs w:val="18"/>
                <w:highlight w:val="yellow"/>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061"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注1.字段属性来源于基期年变更调查数据库。</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2.流入地块编号由“流入乡镇代码（9位）+流入年份（4位）+LR+五位编号”构成，例如：“5101011032022LR00001”,流入地块编号需与县（市、区）XX年度耕地“进出平衡”情况表（耕地流入）中的流入地块编号对应，确保图表一致。</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注3.农户或新型农业经营主体等自行复垦的填写“LR00”，单独立项耕地恢复项目的填写“LR01”，结合土地整治或高标准农田建设一并实施的填写“LR02”。</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注4.填写拟流入耕地后的二级地类名称，如“水田”、“水浇地”、“旱地”。</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注5.填写拟恢复时间，如“2022/8/7”。</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color w:val="auto"/>
          <w:kern w:val="0"/>
          <w:sz w:val="32"/>
          <w:szCs w:val="32"/>
          <w:u w:val="none"/>
          <w:lang w:val="en-US" w:eastAsia="zh-CN" w:bidi="ar-SA"/>
        </w:rPr>
        <w:t>（二）表格数据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表格数据采用.xls格式。县级耕地转出的表格文件名称按照“县级行政区划代码+县级行政区划名称+</w:t>
      </w:r>
      <w:r>
        <w:rPr>
          <w:rFonts w:hint="default" w:ascii="Times New Roman" w:hAnsi="Times New Roman" w:eastAsia="仿宋_GB2312" w:cs="Times New Roman"/>
          <w:i w:val="0"/>
          <w:iCs w:val="0"/>
          <w:color w:val="000000"/>
          <w:kern w:val="0"/>
          <w:sz w:val="28"/>
          <w:szCs w:val="28"/>
          <w:u w:val="none"/>
          <w:lang w:val="en-US" w:eastAsia="zh-CN" w:bidi="ar"/>
        </w:rPr>
        <w:t>XX</w:t>
      </w:r>
      <w:r>
        <w:rPr>
          <w:rFonts w:hint="default" w:ascii="Times New Roman" w:hAnsi="Times New Roman" w:eastAsia="仿宋_GB2312" w:cs="Times New Roman"/>
          <w:sz w:val="32"/>
          <w:szCs w:val="32"/>
          <w:highlight w:val="none"/>
          <w:lang w:val="en-US" w:eastAsia="zh-CN"/>
        </w:rPr>
        <w:t>年度+耕地“进出平衡”耕地转出情况表.xls”的规则命名；市级耕地转出的表格文件名称按照“市级行政区划代码+市级行政区划名称+</w:t>
      </w:r>
      <w:r>
        <w:rPr>
          <w:rFonts w:hint="default" w:ascii="Times New Roman" w:hAnsi="Times New Roman" w:eastAsia="仿宋_GB2312" w:cs="Times New Roman"/>
          <w:i w:val="0"/>
          <w:iCs w:val="0"/>
          <w:color w:val="000000"/>
          <w:kern w:val="0"/>
          <w:sz w:val="28"/>
          <w:szCs w:val="28"/>
          <w:u w:val="none"/>
          <w:lang w:val="en-US" w:eastAsia="zh-CN" w:bidi="ar"/>
        </w:rPr>
        <w:t>XX</w:t>
      </w:r>
      <w:r>
        <w:rPr>
          <w:rFonts w:hint="default" w:ascii="Times New Roman" w:hAnsi="Times New Roman" w:eastAsia="仿宋_GB2312" w:cs="Times New Roman"/>
          <w:sz w:val="32"/>
          <w:szCs w:val="32"/>
          <w:highlight w:val="none"/>
          <w:lang w:val="en-US" w:eastAsia="zh-CN"/>
        </w:rPr>
        <w:t>年度+耕地“进出平衡”耕地转出情况表.xls”的规则命名。县级耕地流入的表格文件名称按照“县级行政区划代码+县级行政区划名称+</w:t>
      </w:r>
      <w:r>
        <w:rPr>
          <w:rFonts w:hint="default" w:ascii="Times New Roman" w:hAnsi="Times New Roman" w:eastAsia="仿宋_GB2312" w:cs="Times New Roman"/>
          <w:i w:val="0"/>
          <w:iCs w:val="0"/>
          <w:color w:val="000000"/>
          <w:kern w:val="0"/>
          <w:sz w:val="28"/>
          <w:szCs w:val="28"/>
          <w:u w:val="none"/>
          <w:lang w:val="en-US" w:eastAsia="zh-CN" w:bidi="ar"/>
        </w:rPr>
        <w:t>XX</w:t>
      </w:r>
      <w:r>
        <w:rPr>
          <w:rFonts w:hint="default" w:ascii="Times New Roman" w:hAnsi="Times New Roman" w:eastAsia="仿宋_GB2312" w:cs="Times New Roman"/>
          <w:sz w:val="32"/>
          <w:szCs w:val="32"/>
          <w:highlight w:val="none"/>
          <w:lang w:val="en-US" w:eastAsia="zh-CN"/>
        </w:rPr>
        <w:t>年度+耕地“进出平衡”耕地流入情况表.xls”的规则命名；市级耕地流入的表格文件名称按照“市级行政区划代码+市级行政区划名称+</w:t>
      </w:r>
      <w:r>
        <w:rPr>
          <w:rFonts w:hint="default" w:ascii="Times New Roman" w:hAnsi="Times New Roman" w:eastAsia="仿宋_GB2312" w:cs="Times New Roman"/>
          <w:i w:val="0"/>
          <w:iCs w:val="0"/>
          <w:color w:val="000000"/>
          <w:kern w:val="0"/>
          <w:sz w:val="28"/>
          <w:szCs w:val="28"/>
          <w:u w:val="none"/>
          <w:lang w:val="en-US" w:eastAsia="zh-CN" w:bidi="ar"/>
        </w:rPr>
        <w:t>XX</w:t>
      </w:r>
      <w:r>
        <w:rPr>
          <w:rFonts w:hint="default" w:ascii="Times New Roman" w:hAnsi="Times New Roman" w:eastAsia="仿宋_GB2312" w:cs="Times New Roman"/>
          <w:sz w:val="32"/>
          <w:szCs w:val="32"/>
          <w:highlight w:val="none"/>
          <w:lang w:val="en-US" w:eastAsia="zh-CN"/>
        </w:rPr>
        <w:t>年度+耕地“进出平衡”耕地流入情况表.xls”的规则命名。表格样式详见总体方案编制要点附表1、附表2。</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color w:val="auto"/>
          <w:kern w:val="0"/>
          <w:sz w:val="32"/>
          <w:szCs w:val="32"/>
          <w:u w:val="none"/>
          <w:lang w:val="en-US" w:eastAsia="zh-CN" w:bidi="ar-SA"/>
        </w:rPr>
        <w:t>（三）图件数据</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图件数据采用jpeg格式。</w:t>
      </w:r>
      <w:r>
        <w:rPr>
          <w:rFonts w:hint="default" w:ascii="Times New Roman" w:hAnsi="Times New Roman" w:eastAsia="仿宋_GB2312" w:cs="Times New Roman"/>
          <w:kern w:val="2"/>
          <w:sz w:val="32"/>
          <w:szCs w:val="32"/>
          <w:highlight w:val="none"/>
          <w:lang w:val="en-US" w:eastAsia="zh-CN" w:bidi="ar-SA"/>
        </w:rPr>
        <w:t>以三调成果为基础，统一采用第三次全国国土调查工作分类规定的图式图例，市级以市为单位，县级以县为单位编制包含行政区域界线、地类界线、地类符号等要素的</w:t>
      </w:r>
      <w:r>
        <w:rPr>
          <w:rFonts w:hint="default" w:ascii="Times New Roman" w:hAnsi="Times New Roman" w:eastAsia="仿宋_GB2312" w:cs="Times New Roman"/>
          <w:i w:val="0"/>
          <w:iCs w:val="0"/>
          <w:color w:val="000000"/>
          <w:kern w:val="0"/>
          <w:sz w:val="28"/>
          <w:szCs w:val="28"/>
          <w:u w:val="none"/>
          <w:lang w:val="en-US" w:eastAsia="zh-CN" w:bidi="ar"/>
        </w:rPr>
        <w:t>XX</w:t>
      </w:r>
      <w:r>
        <w:rPr>
          <w:rFonts w:hint="default" w:ascii="Times New Roman" w:hAnsi="Times New Roman" w:eastAsia="仿宋_GB2312" w:cs="Times New Roman"/>
          <w:kern w:val="2"/>
          <w:sz w:val="32"/>
          <w:szCs w:val="32"/>
          <w:highlight w:val="none"/>
          <w:lang w:val="en-US" w:eastAsia="zh-CN" w:bidi="ar-SA"/>
        </w:rPr>
        <w:t>年度耕地“进出平衡”布局图（包含转出界线、流入界线，土地分类到二级类）。各地可根据实际情况制作局部图，局部示例图见下图。</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00" w:lineRule="exact"/>
        <w:ind w:firstLine="643"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drawing>
          <wp:anchor distT="0" distB="0" distL="114300" distR="114300" simplePos="0" relativeHeight="251659264" behindDoc="0" locked="0" layoutInCell="1" allowOverlap="1">
            <wp:simplePos x="0" y="0"/>
            <wp:positionH relativeFrom="column">
              <wp:posOffset>1272540</wp:posOffset>
            </wp:positionH>
            <wp:positionV relativeFrom="paragraph">
              <wp:posOffset>206375</wp:posOffset>
            </wp:positionV>
            <wp:extent cx="3371850" cy="4800600"/>
            <wp:effectExtent l="86995" t="88900" r="97155" b="101600"/>
            <wp:wrapTopAndBottom/>
            <wp:docPr id="4" name="图片 4" descr="bde267059015089038c5ac8dd8cc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de267059015089038c5ac8dd8cc9d1"/>
                    <pic:cNvPicPr>
                      <a:picLocks noChangeAspect="1"/>
                    </pic:cNvPicPr>
                  </pic:nvPicPr>
                  <pic:blipFill>
                    <a:blip r:embed="rId7"/>
                    <a:stretch>
                      <a:fillRect/>
                    </a:stretch>
                  </pic:blipFill>
                  <pic:spPr>
                    <a:xfrm>
                      <a:off x="0" y="0"/>
                      <a:ext cx="3387725" cy="4796790"/>
                    </a:xfrm>
                    <a:prstGeom prst="rect">
                      <a:avLst/>
                    </a:prstGeom>
                    <a:noFill/>
                    <a:ln>
                      <a:noFill/>
                    </a:ln>
                    <a:effectLst>
                      <a:outerShdw blurRad="63500" sx="102000" sy="102000" algn="ctr" rotWithShape="0">
                        <a:prstClr val="black">
                          <a:alpha val="40000"/>
                        </a:prstClr>
                      </a:outerShdw>
                    </a:effectLst>
                  </pic:spPr>
                </pic:pic>
              </a:graphicData>
            </a:graphic>
          </wp:anchor>
        </w:drawing>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二、数据组织和汇交要求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楷体_GB2312" w:cs="Times New Roman"/>
          <w:b w:val="0"/>
          <w:color w:val="auto"/>
          <w:kern w:val="0"/>
          <w:sz w:val="32"/>
          <w:szCs w:val="32"/>
          <w:u w:val="none"/>
          <w:lang w:val="en-US" w:eastAsia="zh-CN" w:bidi="ar-SA"/>
        </w:rPr>
      </w:pPr>
      <w:r>
        <w:rPr>
          <w:rFonts w:hint="default" w:ascii="Times New Roman" w:hAnsi="Times New Roman" w:eastAsia="楷体_GB2312" w:cs="Times New Roman"/>
          <w:b w:val="0"/>
          <w:color w:val="auto"/>
          <w:kern w:val="0"/>
          <w:sz w:val="32"/>
          <w:szCs w:val="32"/>
          <w:u w:val="none"/>
          <w:lang w:val="en-US" w:eastAsia="zh-CN" w:bidi="ar-SA"/>
        </w:rPr>
        <w:t>（一）数据组织目录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数据组织汇交目录详见下图。其中，目录中的“XXXX市级行政区”指“市级行政区划代码(4位)+市级名称”，“XXXXXX县级行政区”指“县级行政区划代码(6位)+县级名称”，“XX年度”指“年度代码(4位)+年度”。</w:t>
      </w:r>
    </w:p>
    <w:p>
      <w:pPr>
        <w:pStyle w:val="9"/>
        <w:rPr>
          <w:rFonts w:hint="default" w:ascii="Times New Roman" w:hAnsi="Times New Roman" w:cs="Times New Roman"/>
          <w:lang w:val="en-US" w:eastAsia="zh-CN"/>
        </w:rPr>
      </w:pPr>
    </w:p>
    <w:tbl>
      <w:tblPr>
        <w:tblStyle w:val="30"/>
        <w:tblW w:w="79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jc w:val="both"/>
              <w:rPr>
                <w:rFonts w:hint="default" w:ascii="Times New Roman" w:hAnsi="Times New Roman" w:cs="Times New Roman"/>
                <w:sz w:val="22"/>
                <w:highlight w:val="none"/>
              </w:rPr>
            </w:pPr>
            <w:r>
              <w:rPr>
                <w:rFonts w:hint="default" w:ascii="Times New Roman" w:hAnsi="Times New Roman" w:cs="Times New Roman"/>
                <w:sz w:val="22"/>
                <w:highlight w:val="none"/>
              </w:rPr>
              <w:drawing>
                <wp:inline distT="0" distB="0" distL="114300" distR="114300">
                  <wp:extent cx="179705" cy="107950"/>
                  <wp:effectExtent l="0" t="0" r="1079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w:t>
            </w:r>
            <w:r>
              <w:rPr>
                <w:rFonts w:hint="default" w:ascii="Times New Roman" w:hAnsi="Times New Roman" w:cs="Times New Roman"/>
                <w:sz w:val="22"/>
                <w:highlight w:val="none"/>
              </w:rPr>
              <w:t>行政区</w:t>
            </w:r>
            <w:r>
              <w:rPr>
                <w:rFonts w:hint="default" w:ascii="Times New Roman" w:hAnsi="Times New Roman" w:cs="Times New Roman"/>
                <w:sz w:val="22"/>
                <w:highlight w:val="none"/>
                <w:lang w:val="en-US" w:eastAsia="zh-CN"/>
              </w:rPr>
              <w:t>XX年度耕地“进出平衡”</w:t>
            </w:r>
            <w:r>
              <w:rPr>
                <w:rFonts w:hint="default" w:ascii="Times New Roman" w:hAnsi="Times New Roman" w:cs="Times New Roman"/>
                <w:sz w:val="22"/>
                <w:highlight w:val="none"/>
              </w:rPr>
              <w:t>成果数据</w:t>
            </w:r>
            <w:r>
              <w:rPr>
                <w:rFonts w:hint="default" w:ascii="Times New Roman" w:hAnsi="Times New Roman" w:cs="Times New Roman"/>
                <w:sz w:val="22"/>
                <w:highlight w:val="none"/>
                <w:lang w:val="en-US" w:eastAsia="zh-CN"/>
              </w:rPr>
              <w:t>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440" w:firstLineChars="200"/>
              <w:jc w:val="both"/>
              <w:rPr>
                <w:rFonts w:hint="default" w:ascii="Times New Roman" w:hAnsi="Times New Roman" w:eastAsia="宋体" w:cs="Times New Roman"/>
                <w:sz w:val="22"/>
                <w:highlight w:val="none"/>
                <w:lang w:val="en-US" w:eastAsia="zh-CN"/>
              </w:rPr>
            </w:pP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w:t>
            </w:r>
            <w:r>
              <w:rPr>
                <w:rFonts w:hint="default" w:ascii="Times New Roman" w:hAnsi="Times New Roman" w:cs="Times New Roman"/>
                <w:sz w:val="22"/>
                <w:highlight w:val="none"/>
              </w:rPr>
              <w:t>行政区</w:t>
            </w:r>
            <w:r>
              <w:rPr>
                <w:rFonts w:hint="default" w:ascii="Times New Roman" w:hAnsi="Times New Roman" w:cs="Times New Roman"/>
                <w:sz w:val="22"/>
                <w:highlight w:val="none"/>
                <w:lang w:val="en-US" w:eastAsia="zh-CN"/>
              </w:rPr>
              <w:t>XX年度</w:t>
            </w:r>
            <w:r>
              <w:rPr>
                <w:rFonts w:hint="default" w:ascii="Times New Roman" w:hAnsi="Times New Roman" w:cs="Times New Roman"/>
                <w:sz w:val="22"/>
                <w:highlight w:val="none"/>
              </w:rPr>
              <w:t>市级备案请示</w:t>
            </w:r>
            <w:r>
              <w:rPr>
                <w:rFonts w:hint="default" w:ascii="Times New Roman" w:hAnsi="Times New Roman" w:cs="Times New Roman"/>
                <w:sz w:val="22"/>
                <w:highlight w:val="none"/>
                <w:lang w:val="en-US" w:eastAsia="zh-CN"/>
              </w:rPr>
              <w:t>.pdf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440" w:firstLineChars="200"/>
              <w:jc w:val="both"/>
              <w:rPr>
                <w:rFonts w:hint="default" w:ascii="Times New Roman" w:hAnsi="Times New Roman" w:cs="Times New Roman"/>
                <w:sz w:val="22"/>
                <w:highlight w:val="none"/>
              </w:rPr>
            </w:pPr>
            <w:r>
              <w:rPr>
                <w:rFonts w:hint="default" w:ascii="Times New Roman" w:hAnsi="Times New Roman" w:cs="Times New Roman"/>
                <w:sz w:val="22"/>
                <w:highlight w:val="none"/>
              </w:rPr>
              <w:drawing>
                <wp:inline distT="0" distB="0" distL="114300" distR="114300">
                  <wp:extent cx="179705" cy="107950"/>
                  <wp:effectExtent l="0" t="0" r="1079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w:t>
            </w:r>
            <w:r>
              <w:rPr>
                <w:rFonts w:hint="default" w:ascii="Times New Roman" w:hAnsi="Times New Roman" w:cs="Times New Roman"/>
                <w:sz w:val="22"/>
                <w:highlight w:val="none"/>
              </w:rPr>
              <w:t>行政区</w:t>
            </w:r>
            <w:r>
              <w:rPr>
                <w:rFonts w:hint="default" w:ascii="Times New Roman" w:hAnsi="Times New Roman" w:cs="Times New Roman"/>
                <w:sz w:val="22"/>
                <w:highlight w:val="none"/>
                <w:lang w:val="en-US" w:eastAsia="zh-CN"/>
              </w:rPr>
              <w:t>XX年度耕地“进出平衡”</w:t>
            </w:r>
            <w:r>
              <w:rPr>
                <w:rFonts w:hint="default" w:ascii="Times New Roman" w:hAnsi="Times New Roman" w:cs="Times New Roman"/>
                <w:sz w:val="22"/>
                <w:highlight w:val="none"/>
              </w:rPr>
              <w:t>成果数据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cs="Times New Roman"/>
                <w:sz w:val="22"/>
                <w:highlight w:val="none"/>
              </w:rPr>
            </w:pPr>
            <w:r>
              <w:rPr>
                <w:rFonts w:hint="default" w:ascii="Times New Roman" w:hAnsi="Times New Roman" w:cs="Times New Roman"/>
                <w:sz w:val="22"/>
                <w:highlight w:val="none"/>
              </w:rPr>
              <w:drawing>
                <wp:inline distT="0" distB="0" distL="114300" distR="114300">
                  <wp:extent cx="179705" cy="107950"/>
                  <wp:effectExtent l="0" t="0" r="10795" b="635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矢量数据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rPr>
            </w:pP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市级行政区</w:t>
            </w:r>
            <w:r>
              <w:rPr>
                <w:rFonts w:hint="default" w:ascii="Times New Roman" w:hAnsi="Times New Roman" w:cs="Times New Roman"/>
                <w:sz w:val="22"/>
                <w:highlight w:val="none"/>
              </w:rPr>
              <w:t>GD</w:t>
            </w:r>
            <w:r>
              <w:rPr>
                <w:rFonts w:hint="default" w:ascii="Times New Roman" w:hAnsi="Times New Roman" w:cs="Times New Roman"/>
                <w:sz w:val="22"/>
                <w:highlight w:val="none"/>
                <w:lang w:val="en-US" w:eastAsia="zh-CN"/>
              </w:rPr>
              <w:t>ZC</w:t>
            </w:r>
            <w:r>
              <w:rPr>
                <w:rFonts w:hint="default" w:ascii="Times New Roman" w:hAnsi="Times New Roman" w:cs="Times New Roman"/>
                <w:sz w:val="22"/>
                <w:highlight w:val="none"/>
              </w:rPr>
              <w:t>.</w:t>
            </w:r>
            <w:r>
              <w:rPr>
                <w:rFonts w:hint="default" w:ascii="Times New Roman" w:hAnsi="Times New Roman" w:cs="Times New Roman"/>
                <w:sz w:val="22"/>
                <w:highlight w:val="none"/>
                <w:lang w:val="en-US" w:eastAsia="zh-CN"/>
              </w:rPr>
              <w:t>shp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rPr>
            </w:pP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市级行政区</w:t>
            </w:r>
            <w:r>
              <w:rPr>
                <w:rFonts w:hint="default" w:ascii="Times New Roman" w:hAnsi="Times New Roman" w:cs="Times New Roman"/>
                <w:sz w:val="22"/>
                <w:highlight w:val="none"/>
              </w:rPr>
              <w:t>GD</w:t>
            </w:r>
            <w:r>
              <w:rPr>
                <w:rFonts w:hint="default" w:ascii="Times New Roman" w:hAnsi="Times New Roman" w:cs="Times New Roman"/>
                <w:sz w:val="22"/>
                <w:highlight w:val="none"/>
                <w:lang w:val="en-US" w:eastAsia="zh-CN"/>
              </w:rPr>
              <w:t>LR</w:t>
            </w:r>
            <w:r>
              <w:rPr>
                <w:rFonts w:hint="default" w:ascii="Times New Roman" w:hAnsi="Times New Roman" w:cs="Times New Roman"/>
                <w:sz w:val="22"/>
                <w:highlight w:val="none"/>
              </w:rPr>
              <w:t>.</w:t>
            </w:r>
            <w:r>
              <w:rPr>
                <w:rFonts w:hint="default" w:ascii="Times New Roman" w:hAnsi="Times New Roman" w:cs="Times New Roman"/>
                <w:sz w:val="22"/>
                <w:highlight w:val="none"/>
                <w:lang w:val="en-US" w:eastAsia="zh-CN"/>
              </w:rPr>
              <w:t>shp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cs="Times New Roman"/>
                <w:sz w:val="22"/>
                <w:highlight w:val="none"/>
              </w:rPr>
            </w:pPr>
            <w:r>
              <w:rPr>
                <w:rFonts w:hint="default" w:ascii="Times New Roman" w:hAnsi="Times New Roman" w:cs="Times New Roman"/>
                <w:sz w:val="22"/>
                <w:highlight w:val="none"/>
              </w:rPr>
              <w:drawing>
                <wp:inline distT="0" distB="0" distL="114300" distR="114300">
                  <wp:extent cx="179705" cy="107950"/>
                  <wp:effectExtent l="0" t="0" r="10795" b="63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表格数据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100" w:firstLineChars="500"/>
              <w:jc w:val="both"/>
              <w:rPr>
                <w:rFonts w:hint="default" w:ascii="Times New Roman" w:hAnsi="Times New Roman" w:cs="Times New Roman"/>
                <w:sz w:val="22"/>
                <w:highlight w:val="none"/>
              </w:rPr>
            </w:pPr>
            <w:r>
              <w:rPr>
                <w:rFonts w:hint="default" w:ascii="Times New Roman" w:hAnsi="Times New Roman" w:cs="Times New Roman"/>
                <w:sz w:val="22"/>
                <w:highlight w:val="none"/>
                <w:lang w:val="en-US" w:eastAsia="zh-CN"/>
              </w:rPr>
              <w:t xml:space="preserve">  </w:t>
            </w: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市级行政区XX年度耕地“进出平衡”耕地转出情况表.xls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jc w:val="both"/>
              <w:rPr>
                <w:rFonts w:hint="default" w:ascii="Times New Roman" w:hAnsi="Times New Roman" w:cs="Times New Roman"/>
                <w:sz w:val="22"/>
                <w:highlight w:val="none"/>
              </w:rPr>
            </w:pPr>
            <w:r>
              <w:rPr>
                <w:rFonts w:hint="default" w:ascii="Times New Roman" w:hAnsi="Times New Roman" w:cs="Times New Roman"/>
                <w:sz w:val="22"/>
                <w:highlight w:val="none"/>
                <w:lang w:val="en-US" w:eastAsia="zh-CN"/>
              </w:rPr>
              <w:t xml:space="preserve">            </w:t>
            </w:r>
            <w:r>
              <w:rPr>
                <w:rFonts w:hint="default" w:ascii="Times New Roman" w:hAnsi="Times New Roman" w:cs="Times New Roman"/>
                <w:sz w:val="22"/>
                <w:highlight w:val="none"/>
              </w:rPr>
              <w:t>XXXX</w:t>
            </w:r>
            <w:r>
              <w:rPr>
                <w:rFonts w:hint="default" w:ascii="Times New Roman" w:hAnsi="Times New Roman" w:cs="Times New Roman"/>
                <w:sz w:val="22"/>
                <w:highlight w:val="none"/>
                <w:lang w:val="en-US" w:eastAsia="zh-CN"/>
              </w:rPr>
              <w:t>市级行政区XX年度耕地“进出平衡”耕地流入情况表.xls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eastAsia="宋体" w:cs="Times New Roman"/>
                <w:sz w:val="22"/>
                <w:highlight w:val="none"/>
                <w:lang w:val="en-US" w:eastAsia="zh-CN"/>
              </w:rPr>
            </w:pPr>
            <w:r>
              <w:rPr>
                <w:rFonts w:hint="default" w:ascii="Times New Roman" w:hAnsi="Times New Roman" w:cs="Times New Roman"/>
                <w:sz w:val="22"/>
                <w:highlight w:val="none"/>
              </w:rPr>
              <w:drawing>
                <wp:inline distT="0" distB="0" distL="114300" distR="114300">
                  <wp:extent cx="179705" cy="107950"/>
                  <wp:effectExtent l="0" t="0" r="10795" b="635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图件成果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eastAsia="宋体" w:cs="Times New Roman"/>
                <w:sz w:val="22"/>
                <w:highlight w:val="none"/>
                <w:lang w:val="en-US" w:eastAsia="zh-CN"/>
              </w:rPr>
            </w:pPr>
            <w:r>
              <w:rPr>
                <w:rFonts w:hint="default" w:ascii="Times New Roman" w:hAnsi="Times New Roman" w:cs="Times New Roman"/>
                <w:sz w:val="22"/>
                <w:highlight w:val="none"/>
                <w:lang w:val="en-US" w:eastAsia="zh-CN"/>
              </w:rPr>
              <w:t>市级行政区XX</w:t>
            </w:r>
            <w:r>
              <w:rPr>
                <w:rFonts w:hint="default" w:ascii="Times New Roman" w:hAnsi="Times New Roman" w:cs="Times New Roman"/>
                <w:sz w:val="22"/>
                <w:highlight w:val="none"/>
              </w:rPr>
              <w:t>年度耕地</w:t>
            </w:r>
            <w:r>
              <w:rPr>
                <w:rFonts w:hint="default" w:ascii="Times New Roman" w:hAnsi="Times New Roman" w:cs="Times New Roman"/>
                <w:sz w:val="22"/>
                <w:highlight w:val="none"/>
                <w:lang w:eastAsia="zh-CN"/>
              </w:rPr>
              <w:t>“进出平衡”</w:t>
            </w:r>
            <w:r>
              <w:rPr>
                <w:rFonts w:hint="default" w:ascii="Times New Roman" w:hAnsi="Times New Roman" w:cs="Times New Roman"/>
                <w:sz w:val="22"/>
                <w:highlight w:val="none"/>
              </w:rPr>
              <w:t>布局图</w:t>
            </w:r>
            <w:r>
              <w:rPr>
                <w:rFonts w:hint="default" w:ascii="Times New Roman" w:hAnsi="Times New Roman" w:cs="Times New Roman"/>
                <w:sz w:val="22"/>
                <w:highlight w:val="none"/>
                <w:lang w:val="en-US" w:eastAsia="zh-CN"/>
              </w:rPr>
              <w:t>.jpg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eastAsia="宋体" w:cs="Times New Roman"/>
                <w:kern w:val="0"/>
                <w:sz w:val="22"/>
                <w:szCs w:val="24"/>
                <w:highlight w:val="none"/>
                <w:lang w:val="en-US" w:eastAsia="zh-CN" w:bidi="ar-SA"/>
              </w:rPr>
            </w:pPr>
            <w:r>
              <w:rPr>
                <w:rFonts w:hint="default" w:ascii="Times New Roman" w:hAnsi="Times New Roman" w:cs="Times New Roman"/>
                <w:sz w:val="22"/>
                <w:highlight w:val="none"/>
              </w:rPr>
              <w:drawing>
                <wp:inline distT="0" distB="0" distL="114300" distR="114300">
                  <wp:extent cx="179705" cy="107950"/>
                  <wp:effectExtent l="0" t="0" r="10795" b="635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eastAsia="宋体" w:cs="Times New Roman"/>
                <w:kern w:val="0"/>
                <w:sz w:val="22"/>
                <w:szCs w:val="24"/>
                <w:highlight w:val="none"/>
                <w:lang w:val="en-US" w:eastAsia="zh-CN" w:bidi="ar-SA"/>
              </w:rPr>
            </w:pP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市级行政区XX年度市级耕地“进出平衡”方案.pdf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440" w:firstLineChars="200"/>
              <w:jc w:val="both"/>
              <w:rPr>
                <w:rFonts w:hint="default" w:ascii="Times New Roman" w:hAnsi="Times New Roman" w:cs="Times New Roman"/>
                <w:sz w:val="22"/>
                <w:highlight w:val="none"/>
              </w:rPr>
            </w:pPr>
            <w:r>
              <w:rPr>
                <w:rFonts w:hint="default" w:ascii="Times New Roman" w:hAnsi="Times New Roman" w:cs="Times New Roman"/>
                <w:sz w:val="22"/>
                <w:highlight w:val="none"/>
              </w:rPr>
              <w:drawing>
                <wp:inline distT="0" distB="0" distL="114300" distR="114300">
                  <wp:extent cx="179705" cy="107950"/>
                  <wp:effectExtent l="0" t="0" r="10795" b="635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w:t>
            </w:r>
            <w:r>
              <w:rPr>
                <w:rFonts w:hint="default" w:ascii="Times New Roman" w:hAnsi="Times New Roman" w:cs="Times New Roman"/>
                <w:sz w:val="22"/>
                <w:highlight w:val="none"/>
              </w:rPr>
              <w:t>行政区</w:t>
            </w:r>
            <w:r>
              <w:rPr>
                <w:rFonts w:hint="default" w:ascii="Times New Roman" w:hAnsi="Times New Roman" w:cs="Times New Roman"/>
                <w:sz w:val="22"/>
                <w:highlight w:val="none"/>
                <w:lang w:val="en-US" w:eastAsia="zh-CN"/>
              </w:rPr>
              <w:t>XX年度耕地“进出平衡”</w:t>
            </w:r>
            <w:r>
              <w:rPr>
                <w:rFonts w:hint="default" w:ascii="Times New Roman" w:hAnsi="Times New Roman" w:cs="Times New Roman"/>
                <w:sz w:val="22"/>
                <w:highlight w:val="none"/>
              </w:rPr>
              <w:t>成果数据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eastAsia="宋体" w:cs="Times New Roman"/>
                <w:sz w:val="22"/>
                <w:highlight w:val="none"/>
                <w:lang w:val="en-US" w:eastAsia="zh-CN"/>
              </w:rPr>
            </w:pPr>
            <w:r>
              <w:rPr>
                <w:rFonts w:hint="default" w:ascii="Times New Roman" w:hAnsi="Times New Roman" w:cs="Times New Roman"/>
                <w:sz w:val="22"/>
                <w:highlight w:val="none"/>
              </w:rPr>
              <w:drawing>
                <wp:inline distT="0" distB="0" distL="114300" distR="114300">
                  <wp:extent cx="179705" cy="107950"/>
                  <wp:effectExtent l="0" t="0" r="10795" b="635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矢量数据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rPr>
            </w:pP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w:t>
            </w:r>
            <w:r>
              <w:rPr>
                <w:rFonts w:hint="default" w:ascii="Times New Roman" w:hAnsi="Times New Roman" w:cs="Times New Roman"/>
                <w:sz w:val="22"/>
                <w:highlight w:val="none"/>
              </w:rPr>
              <w:t>GD</w:t>
            </w:r>
            <w:r>
              <w:rPr>
                <w:rFonts w:hint="default" w:ascii="Times New Roman" w:hAnsi="Times New Roman" w:cs="Times New Roman"/>
                <w:sz w:val="22"/>
                <w:highlight w:val="none"/>
                <w:lang w:val="en-US" w:eastAsia="zh-CN"/>
              </w:rPr>
              <w:t>ZC</w:t>
            </w:r>
            <w:r>
              <w:rPr>
                <w:rFonts w:hint="default" w:ascii="Times New Roman" w:hAnsi="Times New Roman" w:cs="Times New Roman"/>
                <w:sz w:val="22"/>
                <w:highlight w:val="none"/>
              </w:rPr>
              <w:t>.</w:t>
            </w:r>
            <w:r>
              <w:rPr>
                <w:rFonts w:hint="default" w:ascii="Times New Roman" w:hAnsi="Times New Roman" w:cs="Times New Roman"/>
                <w:sz w:val="22"/>
                <w:highlight w:val="none"/>
                <w:lang w:val="en-US" w:eastAsia="zh-CN"/>
              </w:rPr>
              <w:t>shp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rPr>
            </w:pP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w:t>
            </w:r>
            <w:r>
              <w:rPr>
                <w:rFonts w:hint="default" w:ascii="Times New Roman" w:hAnsi="Times New Roman" w:cs="Times New Roman"/>
                <w:sz w:val="22"/>
                <w:highlight w:val="none"/>
              </w:rPr>
              <w:t>GD</w:t>
            </w:r>
            <w:r>
              <w:rPr>
                <w:rFonts w:hint="default" w:ascii="Times New Roman" w:hAnsi="Times New Roman" w:cs="Times New Roman"/>
                <w:sz w:val="22"/>
                <w:highlight w:val="none"/>
                <w:lang w:val="en-US" w:eastAsia="zh-CN"/>
              </w:rPr>
              <w:t>LR</w:t>
            </w:r>
            <w:r>
              <w:rPr>
                <w:rFonts w:hint="default" w:ascii="Times New Roman" w:hAnsi="Times New Roman" w:cs="Times New Roman"/>
                <w:sz w:val="22"/>
                <w:highlight w:val="none"/>
              </w:rPr>
              <w:t>.</w:t>
            </w:r>
            <w:r>
              <w:rPr>
                <w:rFonts w:hint="default" w:ascii="Times New Roman" w:hAnsi="Times New Roman" w:cs="Times New Roman"/>
                <w:sz w:val="22"/>
                <w:highlight w:val="none"/>
                <w:lang w:val="en-US" w:eastAsia="zh-CN"/>
              </w:rPr>
              <w:t>shp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cs="Times New Roman"/>
                <w:sz w:val="22"/>
                <w:highlight w:val="none"/>
                <w:lang w:val="en-US"/>
              </w:rPr>
            </w:pPr>
            <w:r>
              <w:rPr>
                <w:rFonts w:hint="default" w:ascii="Times New Roman" w:hAnsi="Times New Roman" w:cs="Times New Roman"/>
                <w:sz w:val="22"/>
                <w:highlight w:val="none"/>
              </w:rPr>
              <w:drawing>
                <wp:inline distT="0" distB="0" distL="114300" distR="114300">
                  <wp:extent cx="179705" cy="107950"/>
                  <wp:effectExtent l="0" t="0" r="10795" b="635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表格数据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100" w:firstLineChars="500"/>
              <w:jc w:val="both"/>
              <w:rPr>
                <w:rFonts w:hint="default" w:ascii="Times New Roman" w:hAnsi="Times New Roman" w:eastAsia="宋体" w:cs="Times New Roman"/>
                <w:sz w:val="22"/>
                <w:highlight w:val="none"/>
                <w:lang w:val="en-US" w:eastAsia="zh-CN"/>
              </w:rPr>
            </w:pPr>
            <w:r>
              <w:rPr>
                <w:rFonts w:hint="default" w:ascii="Times New Roman" w:hAnsi="Times New Roman" w:cs="Times New Roman"/>
                <w:sz w:val="22"/>
                <w:highlight w:val="none"/>
                <w:lang w:val="en-US" w:eastAsia="zh-CN"/>
              </w:rPr>
              <w:t xml:space="preserve">  </w:t>
            </w: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县级行政区XX年度耕地“进出平衡”耕地转出统计表.xls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jc w:val="both"/>
              <w:rPr>
                <w:rFonts w:hint="default" w:ascii="Times New Roman" w:hAnsi="Times New Roman" w:cs="Times New Roman"/>
                <w:sz w:val="22"/>
                <w:highlight w:val="none"/>
                <w:lang w:val="en-US" w:eastAsia="zh-CN"/>
              </w:rPr>
            </w:pPr>
            <w:r>
              <w:rPr>
                <w:rFonts w:hint="default" w:ascii="Times New Roman" w:hAnsi="Times New Roman" w:cs="Times New Roman"/>
                <w:sz w:val="22"/>
                <w:highlight w:val="none"/>
                <w:lang w:val="en-US" w:eastAsia="zh-CN"/>
              </w:rPr>
              <w:t xml:space="preserve">            </w:t>
            </w: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县级行政区XX年度耕地“进出平衡”耕地流入统计表.xls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eastAsia="宋体" w:cs="Times New Roman"/>
                <w:kern w:val="0"/>
                <w:sz w:val="22"/>
                <w:szCs w:val="24"/>
                <w:highlight w:val="none"/>
                <w:lang w:val="en-US" w:eastAsia="zh-CN" w:bidi="ar-SA"/>
              </w:rPr>
            </w:pPr>
            <w:r>
              <w:rPr>
                <w:rFonts w:hint="default" w:ascii="Times New Roman" w:hAnsi="Times New Roman" w:cs="Times New Roman"/>
                <w:sz w:val="22"/>
                <w:highlight w:val="none"/>
              </w:rPr>
              <w:drawing>
                <wp:inline distT="0" distB="0" distL="114300" distR="114300">
                  <wp:extent cx="179705" cy="107950"/>
                  <wp:effectExtent l="0" t="0" r="10795" b="635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图件成果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eastAsia="宋体" w:cs="Times New Roman"/>
                <w:kern w:val="0"/>
                <w:sz w:val="22"/>
                <w:szCs w:val="24"/>
                <w:highlight w:val="none"/>
                <w:lang w:val="en-US" w:eastAsia="zh-CN" w:bidi="ar-SA"/>
              </w:rPr>
            </w:pPr>
            <w:r>
              <w:rPr>
                <w:rFonts w:hint="default" w:ascii="Times New Roman" w:hAnsi="Times New Roman" w:cs="Times New Roman"/>
                <w:sz w:val="22"/>
                <w:highlight w:val="none"/>
                <w:lang w:val="en-US" w:eastAsia="zh-CN"/>
              </w:rPr>
              <w:t>县级行政区XX</w:t>
            </w:r>
            <w:r>
              <w:rPr>
                <w:rFonts w:hint="default" w:ascii="Times New Roman" w:hAnsi="Times New Roman" w:cs="Times New Roman"/>
                <w:sz w:val="22"/>
                <w:highlight w:val="none"/>
              </w:rPr>
              <w:t>年度耕地</w:t>
            </w:r>
            <w:r>
              <w:rPr>
                <w:rFonts w:hint="default" w:ascii="Times New Roman" w:hAnsi="Times New Roman" w:cs="Times New Roman"/>
                <w:sz w:val="22"/>
                <w:highlight w:val="none"/>
                <w:lang w:eastAsia="zh-CN"/>
              </w:rPr>
              <w:t>“进出平衡”</w:t>
            </w:r>
            <w:r>
              <w:rPr>
                <w:rFonts w:hint="default" w:ascii="Times New Roman" w:hAnsi="Times New Roman" w:cs="Times New Roman"/>
                <w:sz w:val="22"/>
                <w:highlight w:val="none"/>
              </w:rPr>
              <w:t>布局图</w:t>
            </w:r>
            <w:r>
              <w:rPr>
                <w:rFonts w:hint="default" w:ascii="Times New Roman" w:hAnsi="Times New Roman" w:cs="Times New Roman"/>
                <w:sz w:val="22"/>
                <w:highlight w:val="none"/>
                <w:lang w:val="en-US" w:eastAsia="zh-CN"/>
              </w:rPr>
              <w:t>.jpg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880" w:firstLineChars="400"/>
              <w:jc w:val="both"/>
              <w:rPr>
                <w:rFonts w:hint="default" w:ascii="Times New Roman" w:hAnsi="Times New Roman" w:eastAsia="宋体" w:cs="Times New Roman"/>
                <w:sz w:val="22"/>
                <w:highlight w:val="none"/>
                <w:lang w:val="en-US" w:eastAsia="zh-CN"/>
              </w:rPr>
            </w:pPr>
            <w:r>
              <w:rPr>
                <w:rFonts w:hint="default" w:ascii="Times New Roman" w:hAnsi="Times New Roman" w:cs="Times New Roman"/>
                <w:sz w:val="22"/>
                <w:highlight w:val="none"/>
              </w:rPr>
              <w:drawing>
                <wp:inline distT="0" distB="0" distL="114300" distR="114300">
                  <wp:extent cx="179705" cy="107950"/>
                  <wp:effectExtent l="0" t="0" r="10795" b="635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8"/>
                          <a:srcRect l="12012" t="19466" r="5695" b="21628"/>
                          <a:stretch>
                            <a:fillRect/>
                          </a:stretch>
                        </pic:blipFill>
                        <pic:spPr>
                          <a:xfrm>
                            <a:off x="0" y="0"/>
                            <a:ext cx="179705" cy="107950"/>
                          </a:xfrm>
                          <a:prstGeom prst="rect">
                            <a:avLst/>
                          </a:prstGeom>
                          <a:noFill/>
                          <a:ln>
                            <a:noFill/>
                          </a:ln>
                        </pic:spPr>
                      </pic:pic>
                    </a:graphicData>
                  </a:graphic>
                </wp:inline>
              </w:drawing>
            </w:r>
            <w:r>
              <w:rPr>
                <w:rFonts w:hint="default" w:ascii="Times New Roman" w:hAnsi="Times New Roman" w:cs="Times New Roman"/>
                <w:sz w:val="22"/>
                <w:highlight w:val="none"/>
                <w:lang w:val="en-US" w:eastAsia="zh-CN"/>
              </w:rPr>
              <w:t>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lang w:val="en-US"/>
              </w:rPr>
            </w:pP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县级行政区XX年度县级耕地“进出平衡”方案.pdf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lang w:val="en-US" w:eastAsia="zh-CN"/>
              </w:rPr>
            </w:pP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县级行政区XX年度县级论证意见.pdf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exact"/>
          <w:jc w:val="center"/>
        </w:trPr>
        <w:tc>
          <w:tcPr>
            <w:tcW w:w="7956" w:type="dxa"/>
            <w:noWrap w:val="0"/>
            <w:vAlign w:val="center"/>
          </w:tcPr>
          <w:p>
            <w:pPr>
              <w:pStyle w:val="25"/>
              <w:keepNext w:val="0"/>
              <w:keepLines w:val="0"/>
              <w:suppressLineNumbers w:val="0"/>
              <w:spacing w:beforeAutospacing="0" w:afterAutospacing="0" w:line="360" w:lineRule="exact"/>
              <w:ind w:left="0" w:right="0" w:firstLine="1320" w:firstLineChars="600"/>
              <w:jc w:val="both"/>
              <w:rPr>
                <w:rFonts w:hint="default" w:ascii="Times New Roman" w:hAnsi="Times New Roman" w:cs="Times New Roman"/>
                <w:sz w:val="22"/>
                <w:highlight w:val="none"/>
              </w:rPr>
            </w:pPr>
            <w:r>
              <w:rPr>
                <w:rFonts w:hint="default" w:ascii="Times New Roman" w:hAnsi="Times New Roman" w:cs="Times New Roman"/>
                <w:sz w:val="22"/>
                <w:highlight w:val="none"/>
              </w:rPr>
              <w:t>XXXXXX</w:t>
            </w:r>
            <w:r>
              <w:rPr>
                <w:rFonts w:hint="default" w:ascii="Times New Roman" w:hAnsi="Times New Roman" w:cs="Times New Roman"/>
                <w:sz w:val="22"/>
                <w:highlight w:val="none"/>
                <w:lang w:val="en-US" w:eastAsia="zh-CN"/>
              </w:rPr>
              <w:t>县级行政区XX年度市级审查意见.pdf</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楷体_GB2312" w:cs="Times New Roman"/>
          <w:b w:val="0"/>
          <w:color w:val="auto"/>
          <w:kern w:val="0"/>
          <w:sz w:val="32"/>
          <w:szCs w:val="32"/>
          <w:u w:val="none"/>
          <w:lang w:val="en-US" w:eastAsia="zh-CN" w:bidi="ar-SA"/>
        </w:rPr>
      </w:pPr>
      <w:r>
        <w:rPr>
          <w:rFonts w:hint="default" w:ascii="Times New Roman" w:hAnsi="Times New Roman" w:eastAsia="楷体_GB2312" w:cs="Times New Roman"/>
          <w:b w:val="0"/>
          <w:color w:val="auto"/>
          <w:kern w:val="0"/>
          <w:sz w:val="32"/>
          <w:szCs w:val="32"/>
          <w:u w:val="none"/>
          <w:lang w:val="en-US" w:eastAsia="zh-CN" w:bidi="ar-SA"/>
        </w:rPr>
        <w:t>（二）数据汇交要求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数据采用逐级汇交上报形式汇交。数据汇交应符合本数据要求的数据内容、格式和命名要求等，图形数据与统计表、报告中的数据一致，确保“数、图、文”一致。县级在汇交前应先进行数据库自查，保证数据完整性、空间数学基础与数据格式正确性、标准符合性、空间拓扑、图数一致性等方面的质量；市级负责将市级和所辖县（市、区）电子数据按规范统一整理并初审后，按程序汇交到省级备案；省级将采用质检软件进行统一质检，质检合格上图入库后完成省级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42"/>
        <w:rPr>
          <w:rFonts w:hint="default" w:ascii="Times New Roman" w:hAnsi="Times New Roman" w:cs="Times New Roman"/>
          <w:lang w:eastAsia="zh-CN"/>
        </w:rPr>
      </w:pPr>
    </w:p>
    <w:sectPr>
      <w:footerReference r:id="rId4" w:type="default"/>
      <w:pgSz w:w="11906" w:h="16838"/>
      <w:pgMar w:top="1871" w:right="1474" w:bottom="1474" w:left="1587" w:header="1418" w:footer="141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0" w:usb1="00000000" w:usb2="00000000" w:usb3="00000000" w:csb0="0000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modern"/>
    <w:pitch w:val="default"/>
    <w:sig w:usb0="00000000" w:usb1="0000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仿宋_GB2312">
    <w:panose1 w:val="0201060903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JlYzEzNTMyNTU1NTQ1MjkzNDk4NjVhYjg0NDcifQ=="/>
  </w:docVars>
  <w:rsids>
    <w:rsidRoot w:val="008A0E5F"/>
    <w:rsid w:val="00006320"/>
    <w:rsid w:val="00011DE4"/>
    <w:rsid w:val="00014C16"/>
    <w:rsid w:val="00015D77"/>
    <w:rsid w:val="00016F96"/>
    <w:rsid w:val="00021E3A"/>
    <w:rsid w:val="00022C12"/>
    <w:rsid w:val="00023AD5"/>
    <w:rsid w:val="00024AFC"/>
    <w:rsid w:val="00030910"/>
    <w:rsid w:val="00032B19"/>
    <w:rsid w:val="00042F3C"/>
    <w:rsid w:val="0004329B"/>
    <w:rsid w:val="0004380C"/>
    <w:rsid w:val="00043A3B"/>
    <w:rsid w:val="00044023"/>
    <w:rsid w:val="00047E9C"/>
    <w:rsid w:val="00054DD0"/>
    <w:rsid w:val="00061057"/>
    <w:rsid w:val="000636D7"/>
    <w:rsid w:val="00065EC1"/>
    <w:rsid w:val="00070CB4"/>
    <w:rsid w:val="000740D3"/>
    <w:rsid w:val="00074314"/>
    <w:rsid w:val="00080A66"/>
    <w:rsid w:val="00080AAD"/>
    <w:rsid w:val="00083622"/>
    <w:rsid w:val="0008421D"/>
    <w:rsid w:val="00090A20"/>
    <w:rsid w:val="00093120"/>
    <w:rsid w:val="000A2EAA"/>
    <w:rsid w:val="000A3831"/>
    <w:rsid w:val="000A5A98"/>
    <w:rsid w:val="000A6930"/>
    <w:rsid w:val="000B0A68"/>
    <w:rsid w:val="000B23E8"/>
    <w:rsid w:val="000B38FF"/>
    <w:rsid w:val="000B6D72"/>
    <w:rsid w:val="000B6E25"/>
    <w:rsid w:val="000B7086"/>
    <w:rsid w:val="000C00D9"/>
    <w:rsid w:val="000C14B2"/>
    <w:rsid w:val="000C76CC"/>
    <w:rsid w:val="000D05F8"/>
    <w:rsid w:val="000D3C3A"/>
    <w:rsid w:val="000D68CB"/>
    <w:rsid w:val="000E1B70"/>
    <w:rsid w:val="000E4B90"/>
    <w:rsid w:val="00100D0D"/>
    <w:rsid w:val="001055D7"/>
    <w:rsid w:val="001068E4"/>
    <w:rsid w:val="00107EB6"/>
    <w:rsid w:val="00110A98"/>
    <w:rsid w:val="00110D4D"/>
    <w:rsid w:val="00113165"/>
    <w:rsid w:val="001138AE"/>
    <w:rsid w:val="00134367"/>
    <w:rsid w:val="0013476A"/>
    <w:rsid w:val="0013673F"/>
    <w:rsid w:val="0013750E"/>
    <w:rsid w:val="00141089"/>
    <w:rsid w:val="00141EDB"/>
    <w:rsid w:val="00141F1E"/>
    <w:rsid w:val="00142876"/>
    <w:rsid w:val="001459BE"/>
    <w:rsid w:val="00146CE2"/>
    <w:rsid w:val="00146F68"/>
    <w:rsid w:val="0015056E"/>
    <w:rsid w:val="00157C08"/>
    <w:rsid w:val="00161D26"/>
    <w:rsid w:val="00166B01"/>
    <w:rsid w:val="00167E92"/>
    <w:rsid w:val="00170BF4"/>
    <w:rsid w:val="00177ED8"/>
    <w:rsid w:val="00180739"/>
    <w:rsid w:val="00180EBA"/>
    <w:rsid w:val="00181044"/>
    <w:rsid w:val="00181144"/>
    <w:rsid w:val="00181C50"/>
    <w:rsid w:val="001839AE"/>
    <w:rsid w:val="001857F3"/>
    <w:rsid w:val="00186393"/>
    <w:rsid w:val="0018679A"/>
    <w:rsid w:val="00186B7B"/>
    <w:rsid w:val="0019348E"/>
    <w:rsid w:val="00193728"/>
    <w:rsid w:val="00193BB9"/>
    <w:rsid w:val="00193D1E"/>
    <w:rsid w:val="001A0836"/>
    <w:rsid w:val="001A1CD9"/>
    <w:rsid w:val="001A24EC"/>
    <w:rsid w:val="001A2C8A"/>
    <w:rsid w:val="001A3372"/>
    <w:rsid w:val="001B0DC4"/>
    <w:rsid w:val="001B36BA"/>
    <w:rsid w:val="001B507F"/>
    <w:rsid w:val="001B53C8"/>
    <w:rsid w:val="001B5B68"/>
    <w:rsid w:val="001B7E84"/>
    <w:rsid w:val="001C14F6"/>
    <w:rsid w:val="001C4F67"/>
    <w:rsid w:val="001C5BFC"/>
    <w:rsid w:val="001D22D4"/>
    <w:rsid w:val="001D293C"/>
    <w:rsid w:val="001F3D2B"/>
    <w:rsid w:val="001F7C84"/>
    <w:rsid w:val="0021114C"/>
    <w:rsid w:val="00212280"/>
    <w:rsid w:val="002142D8"/>
    <w:rsid w:val="0021446F"/>
    <w:rsid w:val="00214DCA"/>
    <w:rsid w:val="002153E8"/>
    <w:rsid w:val="0021669C"/>
    <w:rsid w:val="00223FF2"/>
    <w:rsid w:val="002248CD"/>
    <w:rsid w:val="00231130"/>
    <w:rsid w:val="0023168E"/>
    <w:rsid w:val="00240325"/>
    <w:rsid w:val="00240F22"/>
    <w:rsid w:val="002438C1"/>
    <w:rsid w:val="0024450D"/>
    <w:rsid w:val="002456C1"/>
    <w:rsid w:val="002462F3"/>
    <w:rsid w:val="002473A9"/>
    <w:rsid w:val="0025125F"/>
    <w:rsid w:val="002547F6"/>
    <w:rsid w:val="0025630D"/>
    <w:rsid w:val="00260797"/>
    <w:rsid w:val="00265F65"/>
    <w:rsid w:val="00266222"/>
    <w:rsid w:val="002721A8"/>
    <w:rsid w:val="00272695"/>
    <w:rsid w:val="00276740"/>
    <w:rsid w:val="002855FB"/>
    <w:rsid w:val="00286445"/>
    <w:rsid w:val="00286F63"/>
    <w:rsid w:val="00292D80"/>
    <w:rsid w:val="00295FD4"/>
    <w:rsid w:val="002A39ED"/>
    <w:rsid w:val="002A3C60"/>
    <w:rsid w:val="002A741C"/>
    <w:rsid w:val="002B6046"/>
    <w:rsid w:val="002B671D"/>
    <w:rsid w:val="002C07F3"/>
    <w:rsid w:val="002C1949"/>
    <w:rsid w:val="002C4D28"/>
    <w:rsid w:val="002C76A3"/>
    <w:rsid w:val="002C7EF9"/>
    <w:rsid w:val="002D0EC1"/>
    <w:rsid w:val="002D1985"/>
    <w:rsid w:val="002D30B1"/>
    <w:rsid w:val="002D54A0"/>
    <w:rsid w:val="002E0BFF"/>
    <w:rsid w:val="002E16B2"/>
    <w:rsid w:val="002E42F0"/>
    <w:rsid w:val="002E4407"/>
    <w:rsid w:val="002E5495"/>
    <w:rsid w:val="002E6771"/>
    <w:rsid w:val="002E6936"/>
    <w:rsid w:val="002E73BA"/>
    <w:rsid w:val="002E73D1"/>
    <w:rsid w:val="002E7C82"/>
    <w:rsid w:val="002F4D08"/>
    <w:rsid w:val="002F67EF"/>
    <w:rsid w:val="002F7896"/>
    <w:rsid w:val="003001A0"/>
    <w:rsid w:val="0030111A"/>
    <w:rsid w:val="003026D0"/>
    <w:rsid w:val="00304ACB"/>
    <w:rsid w:val="00304E66"/>
    <w:rsid w:val="00305614"/>
    <w:rsid w:val="003060B4"/>
    <w:rsid w:val="003105EE"/>
    <w:rsid w:val="00310D89"/>
    <w:rsid w:val="00311F2F"/>
    <w:rsid w:val="0031779E"/>
    <w:rsid w:val="00317893"/>
    <w:rsid w:val="00322475"/>
    <w:rsid w:val="003229B1"/>
    <w:rsid w:val="0032393C"/>
    <w:rsid w:val="00323B8E"/>
    <w:rsid w:val="003321D2"/>
    <w:rsid w:val="00334F0B"/>
    <w:rsid w:val="00335268"/>
    <w:rsid w:val="0033551A"/>
    <w:rsid w:val="00354280"/>
    <w:rsid w:val="00354ECB"/>
    <w:rsid w:val="0035672F"/>
    <w:rsid w:val="00362094"/>
    <w:rsid w:val="00363B94"/>
    <w:rsid w:val="003640F1"/>
    <w:rsid w:val="00365631"/>
    <w:rsid w:val="00366C0C"/>
    <w:rsid w:val="00377C19"/>
    <w:rsid w:val="003820BC"/>
    <w:rsid w:val="00382F9D"/>
    <w:rsid w:val="0038648A"/>
    <w:rsid w:val="003869AA"/>
    <w:rsid w:val="00393A95"/>
    <w:rsid w:val="0039485F"/>
    <w:rsid w:val="003948EC"/>
    <w:rsid w:val="00396B91"/>
    <w:rsid w:val="003A0393"/>
    <w:rsid w:val="003A5514"/>
    <w:rsid w:val="003A61AE"/>
    <w:rsid w:val="003A6F7F"/>
    <w:rsid w:val="003A7C2A"/>
    <w:rsid w:val="003B13B7"/>
    <w:rsid w:val="003B29E4"/>
    <w:rsid w:val="003B4401"/>
    <w:rsid w:val="003B65D1"/>
    <w:rsid w:val="003C4B6B"/>
    <w:rsid w:val="003C5BF4"/>
    <w:rsid w:val="003D0AE0"/>
    <w:rsid w:val="003D45C8"/>
    <w:rsid w:val="003E05C5"/>
    <w:rsid w:val="003E0C8C"/>
    <w:rsid w:val="003E16E2"/>
    <w:rsid w:val="003E47B0"/>
    <w:rsid w:val="003E5CB1"/>
    <w:rsid w:val="003F605C"/>
    <w:rsid w:val="003F7581"/>
    <w:rsid w:val="00401568"/>
    <w:rsid w:val="00404099"/>
    <w:rsid w:val="004044AA"/>
    <w:rsid w:val="00407589"/>
    <w:rsid w:val="00410D34"/>
    <w:rsid w:val="00413A49"/>
    <w:rsid w:val="0041510C"/>
    <w:rsid w:val="004165B0"/>
    <w:rsid w:val="004166FA"/>
    <w:rsid w:val="00417293"/>
    <w:rsid w:val="004174AD"/>
    <w:rsid w:val="00422B28"/>
    <w:rsid w:val="004234F9"/>
    <w:rsid w:val="00426E84"/>
    <w:rsid w:val="004327DA"/>
    <w:rsid w:val="004407CE"/>
    <w:rsid w:val="004454C9"/>
    <w:rsid w:val="00445DC1"/>
    <w:rsid w:val="004552B8"/>
    <w:rsid w:val="004555E4"/>
    <w:rsid w:val="0046072E"/>
    <w:rsid w:val="0046139D"/>
    <w:rsid w:val="00464191"/>
    <w:rsid w:val="00466B1D"/>
    <w:rsid w:val="004674B6"/>
    <w:rsid w:val="00471B22"/>
    <w:rsid w:val="00472C93"/>
    <w:rsid w:val="00474CF0"/>
    <w:rsid w:val="004762BF"/>
    <w:rsid w:val="004815F7"/>
    <w:rsid w:val="00490350"/>
    <w:rsid w:val="0049162E"/>
    <w:rsid w:val="00492C00"/>
    <w:rsid w:val="00492E28"/>
    <w:rsid w:val="0049709D"/>
    <w:rsid w:val="00497AA9"/>
    <w:rsid w:val="004B192A"/>
    <w:rsid w:val="004B2E3C"/>
    <w:rsid w:val="004B3974"/>
    <w:rsid w:val="004B4144"/>
    <w:rsid w:val="004B49FB"/>
    <w:rsid w:val="004B4D94"/>
    <w:rsid w:val="004B51FF"/>
    <w:rsid w:val="004B54E4"/>
    <w:rsid w:val="004B725A"/>
    <w:rsid w:val="004B7B7E"/>
    <w:rsid w:val="004C00D8"/>
    <w:rsid w:val="004D0D99"/>
    <w:rsid w:val="004D1A70"/>
    <w:rsid w:val="004E4585"/>
    <w:rsid w:val="004E4825"/>
    <w:rsid w:val="004E780A"/>
    <w:rsid w:val="004E7915"/>
    <w:rsid w:val="004F121C"/>
    <w:rsid w:val="004F461B"/>
    <w:rsid w:val="00501EC5"/>
    <w:rsid w:val="005054F4"/>
    <w:rsid w:val="00506B2E"/>
    <w:rsid w:val="00506BB7"/>
    <w:rsid w:val="005104D7"/>
    <w:rsid w:val="00511477"/>
    <w:rsid w:val="00514D66"/>
    <w:rsid w:val="00515D85"/>
    <w:rsid w:val="00517A10"/>
    <w:rsid w:val="00520FFC"/>
    <w:rsid w:val="00521BD1"/>
    <w:rsid w:val="0052241D"/>
    <w:rsid w:val="00523198"/>
    <w:rsid w:val="005248D6"/>
    <w:rsid w:val="00526657"/>
    <w:rsid w:val="00526674"/>
    <w:rsid w:val="0052790B"/>
    <w:rsid w:val="0053120C"/>
    <w:rsid w:val="00533D8B"/>
    <w:rsid w:val="00536C1B"/>
    <w:rsid w:val="00537A8C"/>
    <w:rsid w:val="00544431"/>
    <w:rsid w:val="00545185"/>
    <w:rsid w:val="005474FC"/>
    <w:rsid w:val="00550112"/>
    <w:rsid w:val="00557E6B"/>
    <w:rsid w:val="0056762D"/>
    <w:rsid w:val="00567F39"/>
    <w:rsid w:val="00571380"/>
    <w:rsid w:val="0057171D"/>
    <w:rsid w:val="00572B0F"/>
    <w:rsid w:val="00575F5F"/>
    <w:rsid w:val="0057678B"/>
    <w:rsid w:val="005801A4"/>
    <w:rsid w:val="00580670"/>
    <w:rsid w:val="00581D19"/>
    <w:rsid w:val="00582F04"/>
    <w:rsid w:val="00591F26"/>
    <w:rsid w:val="005948DF"/>
    <w:rsid w:val="005958DA"/>
    <w:rsid w:val="005961F1"/>
    <w:rsid w:val="00597B65"/>
    <w:rsid w:val="005A6369"/>
    <w:rsid w:val="005C0F1F"/>
    <w:rsid w:val="005C5E4B"/>
    <w:rsid w:val="005D039E"/>
    <w:rsid w:val="005D097D"/>
    <w:rsid w:val="005D2B96"/>
    <w:rsid w:val="005D2E99"/>
    <w:rsid w:val="005D2F61"/>
    <w:rsid w:val="005D374C"/>
    <w:rsid w:val="005D499F"/>
    <w:rsid w:val="005D7DAF"/>
    <w:rsid w:val="005E1C3E"/>
    <w:rsid w:val="005E1FB7"/>
    <w:rsid w:val="005E46CE"/>
    <w:rsid w:val="005E4749"/>
    <w:rsid w:val="005E51D8"/>
    <w:rsid w:val="005E7527"/>
    <w:rsid w:val="005F2AF4"/>
    <w:rsid w:val="005F40B8"/>
    <w:rsid w:val="005F63F4"/>
    <w:rsid w:val="005F64B6"/>
    <w:rsid w:val="00600627"/>
    <w:rsid w:val="00605109"/>
    <w:rsid w:val="0061025A"/>
    <w:rsid w:val="00614973"/>
    <w:rsid w:val="0061669D"/>
    <w:rsid w:val="006170B4"/>
    <w:rsid w:val="00623526"/>
    <w:rsid w:val="00625E3C"/>
    <w:rsid w:val="006305A8"/>
    <w:rsid w:val="00635BAF"/>
    <w:rsid w:val="0063645E"/>
    <w:rsid w:val="00643007"/>
    <w:rsid w:val="0064377D"/>
    <w:rsid w:val="006438A1"/>
    <w:rsid w:val="0064458F"/>
    <w:rsid w:val="00644C7B"/>
    <w:rsid w:val="0064744F"/>
    <w:rsid w:val="00647EC3"/>
    <w:rsid w:val="00650FC5"/>
    <w:rsid w:val="00653085"/>
    <w:rsid w:val="0065340B"/>
    <w:rsid w:val="006556BF"/>
    <w:rsid w:val="00656358"/>
    <w:rsid w:val="006571C6"/>
    <w:rsid w:val="00657A83"/>
    <w:rsid w:val="00660144"/>
    <w:rsid w:val="00665750"/>
    <w:rsid w:val="00665C87"/>
    <w:rsid w:val="00666332"/>
    <w:rsid w:val="00680C75"/>
    <w:rsid w:val="00681F39"/>
    <w:rsid w:val="00682413"/>
    <w:rsid w:val="00682C7C"/>
    <w:rsid w:val="006839D9"/>
    <w:rsid w:val="00683F50"/>
    <w:rsid w:val="006842F0"/>
    <w:rsid w:val="00693A69"/>
    <w:rsid w:val="00694966"/>
    <w:rsid w:val="006A2F36"/>
    <w:rsid w:val="006A3679"/>
    <w:rsid w:val="006A5DA9"/>
    <w:rsid w:val="006B3064"/>
    <w:rsid w:val="006B7896"/>
    <w:rsid w:val="006C2836"/>
    <w:rsid w:val="006C531A"/>
    <w:rsid w:val="006C5548"/>
    <w:rsid w:val="006C6C4E"/>
    <w:rsid w:val="006D123D"/>
    <w:rsid w:val="006D1D80"/>
    <w:rsid w:val="006D1EBE"/>
    <w:rsid w:val="006D21FE"/>
    <w:rsid w:val="006D3365"/>
    <w:rsid w:val="006D55AF"/>
    <w:rsid w:val="006D5B5C"/>
    <w:rsid w:val="006E2082"/>
    <w:rsid w:val="006E36C0"/>
    <w:rsid w:val="006E5FDA"/>
    <w:rsid w:val="006E6EB5"/>
    <w:rsid w:val="006F0797"/>
    <w:rsid w:val="006F1936"/>
    <w:rsid w:val="006F24F8"/>
    <w:rsid w:val="006F755C"/>
    <w:rsid w:val="0070051C"/>
    <w:rsid w:val="00710002"/>
    <w:rsid w:val="00710859"/>
    <w:rsid w:val="0071181C"/>
    <w:rsid w:val="0071261E"/>
    <w:rsid w:val="00714E56"/>
    <w:rsid w:val="00716A0B"/>
    <w:rsid w:val="00720749"/>
    <w:rsid w:val="00722A58"/>
    <w:rsid w:val="007255D3"/>
    <w:rsid w:val="00730934"/>
    <w:rsid w:val="00735521"/>
    <w:rsid w:val="007420FB"/>
    <w:rsid w:val="00746435"/>
    <w:rsid w:val="0075189E"/>
    <w:rsid w:val="007520DB"/>
    <w:rsid w:val="00752DBC"/>
    <w:rsid w:val="0075337F"/>
    <w:rsid w:val="00755AC4"/>
    <w:rsid w:val="00755DC4"/>
    <w:rsid w:val="00756749"/>
    <w:rsid w:val="0075752F"/>
    <w:rsid w:val="007579D9"/>
    <w:rsid w:val="0076274E"/>
    <w:rsid w:val="007642B9"/>
    <w:rsid w:val="00765DAA"/>
    <w:rsid w:val="00773101"/>
    <w:rsid w:val="00775B7E"/>
    <w:rsid w:val="00782521"/>
    <w:rsid w:val="00782DD2"/>
    <w:rsid w:val="007841F0"/>
    <w:rsid w:val="007842ED"/>
    <w:rsid w:val="00786535"/>
    <w:rsid w:val="007904C8"/>
    <w:rsid w:val="00792F83"/>
    <w:rsid w:val="0079367D"/>
    <w:rsid w:val="00796EC2"/>
    <w:rsid w:val="007A0E10"/>
    <w:rsid w:val="007A22FB"/>
    <w:rsid w:val="007A2845"/>
    <w:rsid w:val="007A3C05"/>
    <w:rsid w:val="007A4E16"/>
    <w:rsid w:val="007B5BA2"/>
    <w:rsid w:val="007B6438"/>
    <w:rsid w:val="007B65E6"/>
    <w:rsid w:val="007B6F1E"/>
    <w:rsid w:val="007C2EAD"/>
    <w:rsid w:val="007C4D15"/>
    <w:rsid w:val="007D00DF"/>
    <w:rsid w:val="007D2209"/>
    <w:rsid w:val="007D2DCE"/>
    <w:rsid w:val="007D48D2"/>
    <w:rsid w:val="007D4DAE"/>
    <w:rsid w:val="007E0BA3"/>
    <w:rsid w:val="007E1653"/>
    <w:rsid w:val="007E22DE"/>
    <w:rsid w:val="007E4727"/>
    <w:rsid w:val="007E5D44"/>
    <w:rsid w:val="007F0B87"/>
    <w:rsid w:val="007F0D93"/>
    <w:rsid w:val="007F1B49"/>
    <w:rsid w:val="0080031D"/>
    <w:rsid w:val="008043A6"/>
    <w:rsid w:val="00804705"/>
    <w:rsid w:val="00804D47"/>
    <w:rsid w:val="00805EF9"/>
    <w:rsid w:val="00811EB1"/>
    <w:rsid w:val="008135CF"/>
    <w:rsid w:val="008153D1"/>
    <w:rsid w:val="008153DD"/>
    <w:rsid w:val="008170B5"/>
    <w:rsid w:val="00817392"/>
    <w:rsid w:val="00821891"/>
    <w:rsid w:val="00822614"/>
    <w:rsid w:val="008243E6"/>
    <w:rsid w:val="00824F86"/>
    <w:rsid w:val="0082631D"/>
    <w:rsid w:val="00827827"/>
    <w:rsid w:val="008305FF"/>
    <w:rsid w:val="00832754"/>
    <w:rsid w:val="00833628"/>
    <w:rsid w:val="00836830"/>
    <w:rsid w:val="00836E54"/>
    <w:rsid w:val="00836F44"/>
    <w:rsid w:val="00840427"/>
    <w:rsid w:val="00840E82"/>
    <w:rsid w:val="0084126B"/>
    <w:rsid w:val="00842B1C"/>
    <w:rsid w:val="00843465"/>
    <w:rsid w:val="00850BD6"/>
    <w:rsid w:val="00853249"/>
    <w:rsid w:val="008533F1"/>
    <w:rsid w:val="00854F88"/>
    <w:rsid w:val="0085721B"/>
    <w:rsid w:val="00861414"/>
    <w:rsid w:val="008617C1"/>
    <w:rsid w:val="0086517B"/>
    <w:rsid w:val="00865498"/>
    <w:rsid w:val="008679C0"/>
    <w:rsid w:val="008727E9"/>
    <w:rsid w:val="00874F0D"/>
    <w:rsid w:val="00880D7E"/>
    <w:rsid w:val="00890C3D"/>
    <w:rsid w:val="00891B55"/>
    <w:rsid w:val="00894DAE"/>
    <w:rsid w:val="00897315"/>
    <w:rsid w:val="008A010D"/>
    <w:rsid w:val="008A0782"/>
    <w:rsid w:val="008A0E5F"/>
    <w:rsid w:val="008B00EE"/>
    <w:rsid w:val="008B177D"/>
    <w:rsid w:val="008B332D"/>
    <w:rsid w:val="008B4180"/>
    <w:rsid w:val="008B41E0"/>
    <w:rsid w:val="008B4C51"/>
    <w:rsid w:val="008B670D"/>
    <w:rsid w:val="008B67BA"/>
    <w:rsid w:val="008B6BA5"/>
    <w:rsid w:val="008B796D"/>
    <w:rsid w:val="008C4AD4"/>
    <w:rsid w:val="008C5DAC"/>
    <w:rsid w:val="008C765A"/>
    <w:rsid w:val="008D15DB"/>
    <w:rsid w:val="008D4F1C"/>
    <w:rsid w:val="008D6E49"/>
    <w:rsid w:val="008E0576"/>
    <w:rsid w:val="008E1B99"/>
    <w:rsid w:val="008E2B4B"/>
    <w:rsid w:val="008F008C"/>
    <w:rsid w:val="008F08C0"/>
    <w:rsid w:val="008F1A1E"/>
    <w:rsid w:val="008F26A7"/>
    <w:rsid w:val="008F51A3"/>
    <w:rsid w:val="008F5B5E"/>
    <w:rsid w:val="0090003E"/>
    <w:rsid w:val="009107D7"/>
    <w:rsid w:val="00911215"/>
    <w:rsid w:val="00913E95"/>
    <w:rsid w:val="00915F2B"/>
    <w:rsid w:val="00921650"/>
    <w:rsid w:val="009233F5"/>
    <w:rsid w:val="009241F4"/>
    <w:rsid w:val="00924D7A"/>
    <w:rsid w:val="00924F7A"/>
    <w:rsid w:val="0093293B"/>
    <w:rsid w:val="00936EFA"/>
    <w:rsid w:val="009477D1"/>
    <w:rsid w:val="00953466"/>
    <w:rsid w:val="00955909"/>
    <w:rsid w:val="0095650F"/>
    <w:rsid w:val="00956DC5"/>
    <w:rsid w:val="00963240"/>
    <w:rsid w:val="00963B51"/>
    <w:rsid w:val="00964903"/>
    <w:rsid w:val="00967A5A"/>
    <w:rsid w:val="00970896"/>
    <w:rsid w:val="0097146F"/>
    <w:rsid w:val="00972A70"/>
    <w:rsid w:val="00977ACA"/>
    <w:rsid w:val="009804ED"/>
    <w:rsid w:val="009835E4"/>
    <w:rsid w:val="00985D2E"/>
    <w:rsid w:val="009873BB"/>
    <w:rsid w:val="00990308"/>
    <w:rsid w:val="009911F1"/>
    <w:rsid w:val="00994A03"/>
    <w:rsid w:val="009A2CD8"/>
    <w:rsid w:val="009A44A7"/>
    <w:rsid w:val="009A7488"/>
    <w:rsid w:val="009A7661"/>
    <w:rsid w:val="009B4FCB"/>
    <w:rsid w:val="009B7AD5"/>
    <w:rsid w:val="009B7BE3"/>
    <w:rsid w:val="009C0056"/>
    <w:rsid w:val="009C0EB8"/>
    <w:rsid w:val="009C1EF2"/>
    <w:rsid w:val="009C5ADC"/>
    <w:rsid w:val="009D0997"/>
    <w:rsid w:val="009D3BC5"/>
    <w:rsid w:val="009D78C8"/>
    <w:rsid w:val="009E01FF"/>
    <w:rsid w:val="009E267E"/>
    <w:rsid w:val="009E380B"/>
    <w:rsid w:val="009E3C14"/>
    <w:rsid w:val="009F1383"/>
    <w:rsid w:val="009F664F"/>
    <w:rsid w:val="009F6E5D"/>
    <w:rsid w:val="00A03DF8"/>
    <w:rsid w:val="00A064B9"/>
    <w:rsid w:val="00A0683A"/>
    <w:rsid w:val="00A079DA"/>
    <w:rsid w:val="00A17966"/>
    <w:rsid w:val="00A21123"/>
    <w:rsid w:val="00A22981"/>
    <w:rsid w:val="00A244C6"/>
    <w:rsid w:val="00A27D04"/>
    <w:rsid w:val="00A27DF6"/>
    <w:rsid w:val="00A3109D"/>
    <w:rsid w:val="00A35B68"/>
    <w:rsid w:val="00A41B78"/>
    <w:rsid w:val="00A455E9"/>
    <w:rsid w:val="00A52980"/>
    <w:rsid w:val="00A52A72"/>
    <w:rsid w:val="00A54681"/>
    <w:rsid w:val="00A55317"/>
    <w:rsid w:val="00A56CDC"/>
    <w:rsid w:val="00A6588E"/>
    <w:rsid w:val="00A73BE9"/>
    <w:rsid w:val="00A7541E"/>
    <w:rsid w:val="00A75B81"/>
    <w:rsid w:val="00A80DF9"/>
    <w:rsid w:val="00A821F7"/>
    <w:rsid w:val="00A82988"/>
    <w:rsid w:val="00A8315C"/>
    <w:rsid w:val="00A85CAC"/>
    <w:rsid w:val="00A85DC7"/>
    <w:rsid w:val="00A86541"/>
    <w:rsid w:val="00A86F83"/>
    <w:rsid w:val="00A87B02"/>
    <w:rsid w:val="00A90B15"/>
    <w:rsid w:val="00A90E9F"/>
    <w:rsid w:val="00A9251C"/>
    <w:rsid w:val="00A932A8"/>
    <w:rsid w:val="00A94AC6"/>
    <w:rsid w:val="00AA241F"/>
    <w:rsid w:val="00AA45EA"/>
    <w:rsid w:val="00AB039A"/>
    <w:rsid w:val="00AB1D3A"/>
    <w:rsid w:val="00AB5B06"/>
    <w:rsid w:val="00AC0916"/>
    <w:rsid w:val="00AC1A78"/>
    <w:rsid w:val="00AC6D36"/>
    <w:rsid w:val="00AD4FCD"/>
    <w:rsid w:val="00AD4FEC"/>
    <w:rsid w:val="00AE2873"/>
    <w:rsid w:val="00AE472F"/>
    <w:rsid w:val="00AE620D"/>
    <w:rsid w:val="00AF17A9"/>
    <w:rsid w:val="00AF2078"/>
    <w:rsid w:val="00AF55E7"/>
    <w:rsid w:val="00AF5F5A"/>
    <w:rsid w:val="00AF73C1"/>
    <w:rsid w:val="00B105EC"/>
    <w:rsid w:val="00B10E2A"/>
    <w:rsid w:val="00B11CEE"/>
    <w:rsid w:val="00B14AE6"/>
    <w:rsid w:val="00B200FA"/>
    <w:rsid w:val="00B228E0"/>
    <w:rsid w:val="00B2332B"/>
    <w:rsid w:val="00B30B57"/>
    <w:rsid w:val="00B30F68"/>
    <w:rsid w:val="00B35986"/>
    <w:rsid w:val="00B35D32"/>
    <w:rsid w:val="00B40D24"/>
    <w:rsid w:val="00B439B4"/>
    <w:rsid w:val="00B47398"/>
    <w:rsid w:val="00B47E0D"/>
    <w:rsid w:val="00B50B1A"/>
    <w:rsid w:val="00B517B8"/>
    <w:rsid w:val="00B51F8E"/>
    <w:rsid w:val="00B54477"/>
    <w:rsid w:val="00B57B84"/>
    <w:rsid w:val="00B6009A"/>
    <w:rsid w:val="00B61F6C"/>
    <w:rsid w:val="00B62B12"/>
    <w:rsid w:val="00B6393E"/>
    <w:rsid w:val="00B650E4"/>
    <w:rsid w:val="00B67742"/>
    <w:rsid w:val="00B67C63"/>
    <w:rsid w:val="00B74C6E"/>
    <w:rsid w:val="00B76B3D"/>
    <w:rsid w:val="00B826C8"/>
    <w:rsid w:val="00B82DAD"/>
    <w:rsid w:val="00B90052"/>
    <w:rsid w:val="00B93464"/>
    <w:rsid w:val="00B9346D"/>
    <w:rsid w:val="00BA3319"/>
    <w:rsid w:val="00BA54B5"/>
    <w:rsid w:val="00BA5CCA"/>
    <w:rsid w:val="00BA67CE"/>
    <w:rsid w:val="00BB1D04"/>
    <w:rsid w:val="00BB3288"/>
    <w:rsid w:val="00BB34F9"/>
    <w:rsid w:val="00BC0FC7"/>
    <w:rsid w:val="00BC15DF"/>
    <w:rsid w:val="00BD3038"/>
    <w:rsid w:val="00BD7DBA"/>
    <w:rsid w:val="00BE41BB"/>
    <w:rsid w:val="00BE5D69"/>
    <w:rsid w:val="00BF0FE1"/>
    <w:rsid w:val="00BF49C4"/>
    <w:rsid w:val="00BF653E"/>
    <w:rsid w:val="00C01090"/>
    <w:rsid w:val="00C0401F"/>
    <w:rsid w:val="00C11152"/>
    <w:rsid w:val="00C13125"/>
    <w:rsid w:val="00C13C55"/>
    <w:rsid w:val="00C151DC"/>
    <w:rsid w:val="00C16966"/>
    <w:rsid w:val="00C20D6C"/>
    <w:rsid w:val="00C24CA3"/>
    <w:rsid w:val="00C2522F"/>
    <w:rsid w:val="00C25A81"/>
    <w:rsid w:val="00C2748F"/>
    <w:rsid w:val="00C36809"/>
    <w:rsid w:val="00C43D0E"/>
    <w:rsid w:val="00C43FD3"/>
    <w:rsid w:val="00C46208"/>
    <w:rsid w:val="00C509BD"/>
    <w:rsid w:val="00C51417"/>
    <w:rsid w:val="00C56023"/>
    <w:rsid w:val="00C57C43"/>
    <w:rsid w:val="00C60651"/>
    <w:rsid w:val="00C608CE"/>
    <w:rsid w:val="00C6252D"/>
    <w:rsid w:val="00C65464"/>
    <w:rsid w:val="00C66AD8"/>
    <w:rsid w:val="00C67841"/>
    <w:rsid w:val="00C7053A"/>
    <w:rsid w:val="00C83802"/>
    <w:rsid w:val="00C840C7"/>
    <w:rsid w:val="00C92CEC"/>
    <w:rsid w:val="00CA0427"/>
    <w:rsid w:val="00CA388D"/>
    <w:rsid w:val="00CA7204"/>
    <w:rsid w:val="00CB2235"/>
    <w:rsid w:val="00CB37AA"/>
    <w:rsid w:val="00CB5F7E"/>
    <w:rsid w:val="00CB604C"/>
    <w:rsid w:val="00CB6388"/>
    <w:rsid w:val="00CC0153"/>
    <w:rsid w:val="00CC0490"/>
    <w:rsid w:val="00CC36F6"/>
    <w:rsid w:val="00CC7E14"/>
    <w:rsid w:val="00CD0AB6"/>
    <w:rsid w:val="00CD12A8"/>
    <w:rsid w:val="00CD44B1"/>
    <w:rsid w:val="00CD527D"/>
    <w:rsid w:val="00CD6059"/>
    <w:rsid w:val="00CE15F8"/>
    <w:rsid w:val="00CE2002"/>
    <w:rsid w:val="00CE648D"/>
    <w:rsid w:val="00CE77C2"/>
    <w:rsid w:val="00CF048B"/>
    <w:rsid w:val="00CF30A5"/>
    <w:rsid w:val="00CF4CA0"/>
    <w:rsid w:val="00CF4E71"/>
    <w:rsid w:val="00CF5B4A"/>
    <w:rsid w:val="00D0127E"/>
    <w:rsid w:val="00D02C15"/>
    <w:rsid w:val="00D04C5E"/>
    <w:rsid w:val="00D11B4E"/>
    <w:rsid w:val="00D14620"/>
    <w:rsid w:val="00D14814"/>
    <w:rsid w:val="00D158F4"/>
    <w:rsid w:val="00D176B5"/>
    <w:rsid w:val="00D22D8C"/>
    <w:rsid w:val="00D2389A"/>
    <w:rsid w:val="00D2494C"/>
    <w:rsid w:val="00D25F94"/>
    <w:rsid w:val="00D26178"/>
    <w:rsid w:val="00D2629E"/>
    <w:rsid w:val="00D26935"/>
    <w:rsid w:val="00D27A0D"/>
    <w:rsid w:val="00D27B2E"/>
    <w:rsid w:val="00D32EA2"/>
    <w:rsid w:val="00D3652B"/>
    <w:rsid w:val="00D432F5"/>
    <w:rsid w:val="00D5114A"/>
    <w:rsid w:val="00D53E1D"/>
    <w:rsid w:val="00D55397"/>
    <w:rsid w:val="00D56C28"/>
    <w:rsid w:val="00D57757"/>
    <w:rsid w:val="00D60817"/>
    <w:rsid w:val="00D71D23"/>
    <w:rsid w:val="00D75255"/>
    <w:rsid w:val="00D808D1"/>
    <w:rsid w:val="00D8110C"/>
    <w:rsid w:val="00D83DC7"/>
    <w:rsid w:val="00D843CB"/>
    <w:rsid w:val="00D866D7"/>
    <w:rsid w:val="00D8696B"/>
    <w:rsid w:val="00D870CF"/>
    <w:rsid w:val="00D87B69"/>
    <w:rsid w:val="00D87E16"/>
    <w:rsid w:val="00D906A0"/>
    <w:rsid w:val="00D93129"/>
    <w:rsid w:val="00D939B1"/>
    <w:rsid w:val="00D967E6"/>
    <w:rsid w:val="00D972DD"/>
    <w:rsid w:val="00DA230B"/>
    <w:rsid w:val="00DA4BFE"/>
    <w:rsid w:val="00DB1957"/>
    <w:rsid w:val="00DB2517"/>
    <w:rsid w:val="00DB4FEA"/>
    <w:rsid w:val="00DB6228"/>
    <w:rsid w:val="00DB74CF"/>
    <w:rsid w:val="00DC2F2C"/>
    <w:rsid w:val="00DC401D"/>
    <w:rsid w:val="00DC5339"/>
    <w:rsid w:val="00DD0779"/>
    <w:rsid w:val="00DD1ACC"/>
    <w:rsid w:val="00DD36A1"/>
    <w:rsid w:val="00DD605F"/>
    <w:rsid w:val="00DD61E7"/>
    <w:rsid w:val="00DE7792"/>
    <w:rsid w:val="00DF10E8"/>
    <w:rsid w:val="00DF7239"/>
    <w:rsid w:val="00E03DDA"/>
    <w:rsid w:val="00E04DAC"/>
    <w:rsid w:val="00E04EA4"/>
    <w:rsid w:val="00E125F2"/>
    <w:rsid w:val="00E20559"/>
    <w:rsid w:val="00E3062E"/>
    <w:rsid w:val="00E31290"/>
    <w:rsid w:val="00E316BF"/>
    <w:rsid w:val="00E40F0D"/>
    <w:rsid w:val="00E40F8F"/>
    <w:rsid w:val="00E41708"/>
    <w:rsid w:val="00E4225C"/>
    <w:rsid w:val="00E426ED"/>
    <w:rsid w:val="00E43B7E"/>
    <w:rsid w:val="00E47C3B"/>
    <w:rsid w:val="00E500B2"/>
    <w:rsid w:val="00E55FC6"/>
    <w:rsid w:val="00E56058"/>
    <w:rsid w:val="00E56FBF"/>
    <w:rsid w:val="00E61297"/>
    <w:rsid w:val="00E61937"/>
    <w:rsid w:val="00E62567"/>
    <w:rsid w:val="00E62F54"/>
    <w:rsid w:val="00E6304D"/>
    <w:rsid w:val="00E671D7"/>
    <w:rsid w:val="00E707A7"/>
    <w:rsid w:val="00E7087F"/>
    <w:rsid w:val="00E758F8"/>
    <w:rsid w:val="00E77231"/>
    <w:rsid w:val="00E8178F"/>
    <w:rsid w:val="00E84105"/>
    <w:rsid w:val="00E8410E"/>
    <w:rsid w:val="00E84A9F"/>
    <w:rsid w:val="00E851FB"/>
    <w:rsid w:val="00E87677"/>
    <w:rsid w:val="00E958A7"/>
    <w:rsid w:val="00EA4489"/>
    <w:rsid w:val="00EA772C"/>
    <w:rsid w:val="00EA7DA4"/>
    <w:rsid w:val="00EB05BD"/>
    <w:rsid w:val="00EC5420"/>
    <w:rsid w:val="00ED1A6D"/>
    <w:rsid w:val="00ED5906"/>
    <w:rsid w:val="00EE14C2"/>
    <w:rsid w:val="00EE2C9D"/>
    <w:rsid w:val="00EE41AE"/>
    <w:rsid w:val="00EF05DD"/>
    <w:rsid w:val="00EF0DA0"/>
    <w:rsid w:val="00EF48F1"/>
    <w:rsid w:val="00EF6AAF"/>
    <w:rsid w:val="00F034E1"/>
    <w:rsid w:val="00F04325"/>
    <w:rsid w:val="00F15FEE"/>
    <w:rsid w:val="00F16828"/>
    <w:rsid w:val="00F16F00"/>
    <w:rsid w:val="00F2016F"/>
    <w:rsid w:val="00F2370B"/>
    <w:rsid w:val="00F2456D"/>
    <w:rsid w:val="00F25EB7"/>
    <w:rsid w:val="00F27FDF"/>
    <w:rsid w:val="00F3269C"/>
    <w:rsid w:val="00F375A2"/>
    <w:rsid w:val="00F409EB"/>
    <w:rsid w:val="00F4197E"/>
    <w:rsid w:val="00F425AB"/>
    <w:rsid w:val="00F43A86"/>
    <w:rsid w:val="00F44CFE"/>
    <w:rsid w:val="00F454C1"/>
    <w:rsid w:val="00F45952"/>
    <w:rsid w:val="00F475C6"/>
    <w:rsid w:val="00F511FA"/>
    <w:rsid w:val="00F51E0B"/>
    <w:rsid w:val="00F5265E"/>
    <w:rsid w:val="00F52901"/>
    <w:rsid w:val="00F55642"/>
    <w:rsid w:val="00F64225"/>
    <w:rsid w:val="00F65B98"/>
    <w:rsid w:val="00F66AAA"/>
    <w:rsid w:val="00F70945"/>
    <w:rsid w:val="00F74A9B"/>
    <w:rsid w:val="00F74BB0"/>
    <w:rsid w:val="00F75C2C"/>
    <w:rsid w:val="00F7604C"/>
    <w:rsid w:val="00F8144F"/>
    <w:rsid w:val="00F82E0C"/>
    <w:rsid w:val="00F831A6"/>
    <w:rsid w:val="00F845B9"/>
    <w:rsid w:val="00F85065"/>
    <w:rsid w:val="00F9090B"/>
    <w:rsid w:val="00F9555A"/>
    <w:rsid w:val="00FA7FFD"/>
    <w:rsid w:val="00FB0561"/>
    <w:rsid w:val="00FC003C"/>
    <w:rsid w:val="00FC08A5"/>
    <w:rsid w:val="00FC1018"/>
    <w:rsid w:val="00FD655B"/>
    <w:rsid w:val="00FD78D1"/>
    <w:rsid w:val="00FE05D8"/>
    <w:rsid w:val="00FE1F0F"/>
    <w:rsid w:val="00FE239D"/>
    <w:rsid w:val="00FE2930"/>
    <w:rsid w:val="00FE29D6"/>
    <w:rsid w:val="00FE41AF"/>
    <w:rsid w:val="00FE5478"/>
    <w:rsid w:val="00FF2D60"/>
    <w:rsid w:val="00FF34D4"/>
    <w:rsid w:val="00FF5BBC"/>
    <w:rsid w:val="066309C8"/>
    <w:rsid w:val="0A4C2068"/>
    <w:rsid w:val="0A953F77"/>
    <w:rsid w:val="0D2D7C1D"/>
    <w:rsid w:val="133F0C0D"/>
    <w:rsid w:val="13497D2F"/>
    <w:rsid w:val="1FFBA665"/>
    <w:rsid w:val="229E4EE5"/>
    <w:rsid w:val="22C26292"/>
    <w:rsid w:val="23410FA1"/>
    <w:rsid w:val="24FF1B7B"/>
    <w:rsid w:val="26920C96"/>
    <w:rsid w:val="27DECE23"/>
    <w:rsid w:val="2BB571D5"/>
    <w:rsid w:val="2E67ED09"/>
    <w:rsid w:val="2FF6FB22"/>
    <w:rsid w:val="3014140F"/>
    <w:rsid w:val="32654AB3"/>
    <w:rsid w:val="348C7EE6"/>
    <w:rsid w:val="36F7A318"/>
    <w:rsid w:val="36FE4236"/>
    <w:rsid w:val="37274814"/>
    <w:rsid w:val="37670431"/>
    <w:rsid w:val="3A00585A"/>
    <w:rsid w:val="3AE90C67"/>
    <w:rsid w:val="3CB7CBFE"/>
    <w:rsid w:val="3DFAC3CC"/>
    <w:rsid w:val="3DFBF306"/>
    <w:rsid w:val="3E7F64B0"/>
    <w:rsid w:val="3F3F5098"/>
    <w:rsid w:val="3F5F7812"/>
    <w:rsid w:val="3FE79D68"/>
    <w:rsid w:val="473934D9"/>
    <w:rsid w:val="4EDE1AC7"/>
    <w:rsid w:val="55E01CE9"/>
    <w:rsid w:val="59FFFB99"/>
    <w:rsid w:val="5BE44452"/>
    <w:rsid w:val="5D5F1B76"/>
    <w:rsid w:val="5F7F1118"/>
    <w:rsid w:val="5FF3E560"/>
    <w:rsid w:val="63A5691B"/>
    <w:rsid w:val="63A5822A"/>
    <w:rsid w:val="656D2F85"/>
    <w:rsid w:val="65AA1CA6"/>
    <w:rsid w:val="6757C28A"/>
    <w:rsid w:val="675B4B49"/>
    <w:rsid w:val="683F482E"/>
    <w:rsid w:val="6A1E4DC0"/>
    <w:rsid w:val="6AAE7CAB"/>
    <w:rsid w:val="6BF27E81"/>
    <w:rsid w:val="6BFDA4A3"/>
    <w:rsid w:val="6D1452AF"/>
    <w:rsid w:val="6DDD7D6B"/>
    <w:rsid w:val="6EAF01F8"/>
    <w:rsid w:val="6F7B20F0"/>
    <w:rsid w:val="71FB84CC"/>
    <w:rsid w:val="72FFFD1C"/>
    <w:rsid w:val="75144FFD"/>
    <w:rsid w:val="768F9816"/>
    <w:rsid w:val="77756FA5"/>
    <w:rsid w:val="77CF38B3"/>
    <w:rsid w:val="77E6D79A"/>
    <w:rsid w:val="7978F0F9"/>
    <w:rsid w:val="7AF5E4B7"/>
    <w:rsid w:val="7B8728B3"/>
    <w:rsid w:val="7BBF4B9C"/>
    <w:rsid w:val="7D32487A"/>
    <w:rsid w:val="7D7A476A"/>
    <w:rsid w:val="7DAF9231"/>
    <w:rsid w:val="7DDEF3B1"/>
    <w:rsid w:val="7DFDE9E5"/>
    <w:rsid w:val="7F07584B"/>
    <w:rsid w:val="7F9C38FF"/>
    <w:rsid w:val="7FE94487"/>
    <w:rsid w:val="7FFF87E1"/>
    <w:rsid w:val="87F55314"/>
    <w:rsid w:val="8FC91CC2"/>
    <w:rsid w:val="8FDD0B4D"/>
    <w:rsid w:val="B7F7FFCB"/>
    <w:rsid w:val="BEBF0771"/>
    <w:rsid w:val="BFBE5F20"/>
    <w:rsid w:val="C77FEFD6"/>
    <w:rsid w:val="C8BB0ECE"/>
    <w:rsid w:val="CDF3F7F9"/>
    <w:rsid w:val="CFE6FA77"/>
    <w:rsid w:val="D0E27D01"/>
    <w:rsid w:val="D9CD3066"/>
    <w:rsid w:val="DC7F6E3E"/>
    <w:rsid w:val="DF9DBB5E"/>
    <w:rsid w:val="DFDBA187"/>
    <w:rsid w:val="DFF78308"/>
    <w:rsid w:val="DFFD52A6"/>
    <w:rsid w:val="E297AE09"/>
    <w:rsid w:val="E36ECA93"/>
    <w:rsid w:val="E37E6EE1"/>
    <w:rsid w:val="E7F2C35D"/>
    <w:rsid w:val="ECEE663E"/>
    <w:rsid w:val="EDFD4230"/>
    <w:rsid w:val="EED2826E"/>
    <w:rsid w:val="EF9901BC"/>
    <w:rsid w:val="EFBC54BC"/>
    <w:rsid w:val="F5BE63BC"/>
    <w:rsid w:val="F6CE87AD"/>
    <w:rsid w:val="F75C7A81"/>
    <w:rsid w:val="F76FA338"/>
    <w:rsid w:val="F7774C79"/>
    <w:rsid w:val="F77CE8D4"/>
    <w:rsid w:val="F7C87E4C"/>
    <w:rsid w:val="F7FEDCDF"/>
    <w:rsid w:val="F7FFCBCE"/>
    <w:rsid w:val="F9BF48BC"/>
    <w:rsid w:val="F9ED70FD"/>
    <w:rsid w:val="FB7B97B1"/>
    <w:rsid w:val="FBAB350E"/>
    <w:rsid w:val="FBBD3996"/>
    <w:rsid w:val="FBFB6B4F"/>
    <w:rsid w:val="FBFF24CA"/>
    <w:rsid w:val="FD52EAC9"/>
    <w:rsid w:val="FEAC9771"/>
    <w:rsid w:val="FEB24078"/>
    <w:rsid w:val="FEF76376"/>
    <w:rsid w:val="FEFEBD1B"/>
    <w:rsid w:val="FF798C98"/>
    <w:rsid w:val="FF7FA884"/>
    <w:rsid w:val="FFAB4E1C"/>
    <w:rsid w:val="FFCFE459"/>
    <w:rsid w:val="FFDEB768"/>
    <w:rsid w:val="FFDFF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keepLines/>
      <w:spacing w:before="340" w:after="330" w:line="576" w:lineRule="auto"/>
      <w:outlineLvl w:val="0"/>
    </w:pPr>
    <w:rPr>
      <w:b/>
      <w:kern w:val="44"/>
      <w:sz w:val="44"/>
      <w:szCs w:val="2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snapToGrid w:val="0"/>
      <w:spacing w:line="600" w:lineRule="exact"/>
      <w:ind w:firstLine="640" w:firstLineChars="200"/>
      <w:outlineLvl w:val="2"/>
    </w:pPr>
    <w:rPr>
      <w:rFonts w:eastAsia="楷体"/>
      <w:kern w:val="0"/>
      <w:sz w:val="32"/>
      <w:szCs w:val="22"/>
    </w:rPr>
  </w:style>
  <w:style w:type="character" w:default="1" w:styleId="31">
    <w:name w:val="Default Paragraph Font"/>
    <w:semiHidden/>
    <w:qFormat/>
    <w:uiPriority w:val="0"/>
  </w:style>
  <w:style w:type="table" w:default="1" w:styleId="2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next w:val="1"/>
    <w:qFormat/>
    <w:uiPriority w:val="0"/>
    <w:pPr>
      <w:spacing w:line="440" w:lineRule="atLeast"/>
    </w:pPr>
    <w:rPr>
      <w:szCs w:val="24"/>
    </w:rPr>
  </w:style>
  <w:style w:type="paragraph" w:styleId="6">
    <w:name w:val="annotation text"/>
    <w:basedOn w:val="1"/>
    <w:link w:val="38"/>
    <w:unhideWhenUsed/>
    <w:qFormat/>
    <w:uiPriority w:val="0"/>
    <w:pPr>
      <w:jc w:val="left"/>
    </w:pPr>
    <w:rPr>
      <w:rFonts w:ascii="Calibri" w:hAnsi="Calibri"/>
      <w:szCs w:val="22"/>
    </w:rPr>
  </w:style>
  <w:style w:type="paragraph" w:styleId="7">
    <w:name w:val="Salutation"/>
    <w:basedOn w:val="1"/>
    <w:next w:val="1"/>
    <w:qFormat/>
    <w:uiPriority w:val="99"/>
  </w:style>
  <w:style w:type="paragraph" w:styleId="8">
    <w:name w:val="Body Text 3"/>
    <w:basedOn w:val="1"/>
    <w:qFormat/>
    <w:uiPriority w:val="0"/>
    <w:rPr>
      <w:rFonts w:eastAsia="华文仿宋"/>
      <w:sz w:val="30"/>
    </w:rPr>
  </w:style>
  <w:style w:type="paragraph" w:styleId="9">
    <w:name w:val="Body Text"/>
    <w:basedOn w:val="1"/>
    <w:next w:val="10"/>
    <w:qFormat/>
    <w:uiPriority w:val="0"/>
    <w:pPr>
      <w:jc w:val="center"/>
    </w:pPr>
    <w:rPr>
      <w:rFonts w:ascii="黑体" w:eastAsia="黑体"/>
      <w:sz w:val="36"/>
      <w:szCs w:val="24"/>
    </w:rPr>
  </w:style>
  <w:style w:type="paragraph" w:styleId="10">
    <w:name w:val="toc 5"/>
    <w:basedOn w:val="1"/>
    <w:next w:val="1"/>
    <w:qFormat/>
    <w:uiPriority w:val="0"/>
    <w:pPr>
      <w:ind w:left="1680" w:leftChars="800"/>
    </w:pPr>
    <w:rPr>
      <w:rFonts w:ascii="Times New Roman" w:hAnsi="Times New Roman" w:cs="Times New Roman"/>
    </w:rPr>
  </w:style>
  <w:style w:type="paragraph" w:styleId="11">
    <w:name w:val="Body Text Indent"/>
    <w:basedOn w:val="1"/>
    <w:next w:val="12"/>
    <w:qFormat/>
    <w:uiPriority w:val="0"/>
    <w:pPr>
      <w:spacing w:line="600" w:lineRule="exact"/>
      <w:ind w:firstLine="645"/>
    </w:pPr>
    <w:rPr>
      <w:rFonts w:ascii="黑体" w:eastAsia="黑体"/>
      <w:sz w:val="32"/>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spacing w:line="600" w:lineRule="exact"/>
      <w:ind w:left="-359" w:leftChars="-171" w:right="-153" w:rightChars="-73" w:firstLine="640"/>
    </w:pPr>
    <w:rPr>
      <w:rFonts w:ascii="华文中宋" w:eastAsia="华文中宋"/>
      <w:sz w:val="32"/>
      <w:szCs w:val="32"/>
    </w:rPr>
  </w:style>
  <w:style w:type="paragraph" w:styleId="14">
    <w:name w:val="Plain Text"/>
    <w:basedOn w:val="1"/>
    <w:next w:val="15"/>
    <w:unhideWhenUsed/>
    <w:qFormat/>
    <w:uiPriority w:val="0"/>
    <w:pPr>
      <w:spacing w:before="50" w:beforeLines="50" w:after="50" w:afterLines="50"/>
      <w:ind w:firstLine="200" w:firstLineChars="200"/>
    </w:pPr>
    <w:rPr>
      <w:rFonts w:ascii="宋体" w:hAnsi="Courier New"/>
      <w:sz w:val="28"/>
      <w:szCs w:val="24"/>
    </w:rPr>
  </w:style>
  <w:style w:type="paragraph" w:styleId="15">
    <w:name w:val="List Number 5"/>
    <w:basedOn w:val="1"/>
    <w:qFormat/>
    <w:uiPriority w:val="0"/>
  </w:style>
  <w:style w:type="paragraph" w:styleId="16">
    <w:name w:val="Date"/>
    <w:basedOn w:val="1"/>
    <w:next w:val="1"/>
    <w:qFormat/>
    <w:uiPriority w:val="0"/>
    <w:pPr>
      <w:ind w:left="100" w:leftChars="2500"/>
    </w:pPr>
    <w:rPr>
      <w:rFonts w:ascii="仿宋_GB2312" w:eastAsia="仿宋_GB2312"/>
      <w:sz w:val="30"/>
    </w:rPr>
  </w:style>
  <w:style w:type="paragraph" w:styleId="17">
    <w:name w:val="Body Text Indent 2"/>
    <w:basedOn w:val="1"/>
    <w:qFormat/>
    <w:uiPriority w:val="0"/>
    <w:pPr>
      <w:spacing w:line="520" w:lineRule="exact"/>
      <w:ind w:firstLine="640" w:firstLineChars="200"/>
    </w:pPr>
    <w:rPr>
      <w:rFonts w:eastAsia="黑体"/>
      <w:sz w:val="32"/>
    </w:rPr>
  </w:style>
  <w:style w:type="paragraph" w:styleId="18">
    <w:name w:val="Balloon Text"/>
    <w:basedOn w:val="1"/>
    <w:link w:val="39"/>
    <w:semiHidden/>
    <w:qFormat/>
    <w:uiPriority w:val="0"/>
    <w:rPr>
      <w:sz w:val="18"/>
      <w:szCs w:val="18"/>
    </w:rPr>
  </w:style>
  <w:style w:type="paragraph" w:styleId="19">
    <w:name w:val="footer"/>
    <w:basedOn w:val="1"/>
    <w:next w:val="1"/>
    <w:link w:val="40"/>
    <w:qFormat/>
    <w:uiPriority w:val="0"/>
    <w:pPr>
      <w:tabs>
        <w:tab w:val="center" w:pos="4153"/>
        <w:tab w:val="right" w:pos="8306"/>
      </w:tabs>
      <w:snapToGrid w:val="0"/>
      <w:jc w:val="left"/>
    </w:pPr>
    <w:rPr>
      <w:sz w:val="18"/>
    </w:rPr>
  </w:style>
  <w:style w:type="paragraph" w:styleId="20">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qFormat/>
    <w:uiPriority w:val="0"/>
    <w:pPr>
      <w:spacing w:line="640" w:lineRule="exact"/>
      <w:ind w:firstLine="600"/>
    </w:pPr>
    <w:rPr>
      <w:rFonts w:eastAsia="仿宋_GB2312"/>
      <w:sz w:val="32"/>
    </w:rPr>
  </w:style>
  <w:style w:type="paragraph" w:styleId="22">
    <w:name w:val="table of figures"/>
    <w:basedOn w:val="1"/>
    <w:next w:val="1"/>
    <w:qFormat/>
    <w:uiPriority w:val="0"/>
    <w:pPr>
      <w:ind w:leftChars="200" w:hanging="200" w:hangingChars="200"/>
    </w:pPr>
    <w:rPr>
      <w:rFonts w:ascii="宋体" w:hAnsi="宋体" w:eastAsia="仿宋_GB2312"/>
      <w:sz w:val="32"/>
      <w:szCs w:val="32"/>
    </w:rPr>
  </w:style>
  <w:style w:type="paragraph" w:styleId="23">
    <w:name w:val="Body Text 2"/>
    <w:basedOn w:val="1"/>
    <w:qFormat/>
    <w:uiPriority w:val="0"/>
    <w:rPr>
      <w:b/>
      <w:bCs/>
      <w:sz w:val="30"/>
      <w:szCs w:val="24"/>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kern w:val="0"/>
      <w:sz w:val="24"/>
      <w:szCs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qFormat/>
    <w:uiPriority w:val="0"/>
    <w:pPr>
      <w:spacing w:after="156" w:afterLines="50"/>
      <w:ind w:left="-214" w:right="-50" w:rightChars="-24" w:firstLine="880"/>
      <w:jc w:val="center"/>
      <w:outlineLvl w:val="1"/>
    </w:pPr>
    <w:rPr>
      <w:rFonts w:ascii="方正黑体_GBK" w:hAnsi="Calibri" w:eastAsia="方正黑体_GBK"/>
      <w:sz w:val="44"/>
      <w:szCs w:val="44"/>
    </w:rPr>
  </w:style>
  <w:style w:type="paragraph" w:styleId="27">
    <w:name w:val="Body Text First Indent"/>
    <w:basedOn w:val="9"/>
    <w:qFormat/>
    <w:uiPriority w:val="0"/>
    <w:pPr>
      <w:spacing w:after="120"/>
      <w:ind w:firstLine="420" w:firstLineChars="100"/>
      <w:jc w:val="both"/>
    </w:pPr>
    <w:rPr>
      <w:rFonts w:ascii="Times New Roman" w:eastAsia="宋体"/>
      <w:sz w:val="21"/>
      <w:szCs w:val="20"/>
    </w:rPr>
  </w:style>
  <w:style w:type="paragraph" w:styleId="28">
    <w:name w:val="Body Text First Indent 2"/>
    <w:basedOn w:val="11"/>
    <w:next w:val="14"/>
    <w:qFormat/>
    <w:uiPriority w:val="0"/>
    <w:pPr>
      <w:spacing w:after="120" w:line="240" w:lineRule="auto"/>
      <w:ind w:left="420" w:leftChars="200" w:firstLine="420" w:firstLineChars="200"/>
    </w:pPr>
    <w:rPr>
      <w:rFonts w:ascii="Calibri" w:hAnsi="Calibri" w:eastAsia="宋体"/>
      <w:sz w:val="21"/>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0"/>
  </w:style>
  <w:style w:type="character" w:styleId="33">
    <w:name w:val="page number"/>
    <w:basedOn w:val="31"/>
    <w:qFormat/>
    <w:uiPriority w:val="0"/>
  </w:style>
  <w:style w:type="character" w:styleId="34">
    <w:name w:val="Hyperlink"/>
    <w:basedOn w:val="31"/>
    <w:qFormat/>
    <w:uiPriority w:val="0"/>
    <w:rPr>
      <w:color w:val="0000FF"/>
      <w:u w:val="single"/>
    </w:rPr>
  </w:style>
  <w:style w:type="character" w:styleId="35">
    <w:name w:val="annotation reference"/>
    <w:unhideWhenUsed/>
    <w:qFormat/>
    <w:uiPriority w:val="0"/>
    <w:rPr>
      <w:sz w:val="21"/>
      <w:szCs w:val="21"/>
    </w:rPr>
  </w:style>
  <w:style w:type="character" w:customStyle="1" w:styleId="36">
    <w:name w:val="标题 1 Char"/>
    <w:link w:val="3"/>
    <w:qFormat/>
    <w:uiPriority w:val="0"/>
    <w:rPr>
      <w:rFonts w:eastAsia="宋体"/>
      <w:b/>
      <w:kern w:val="44"/>
      <w:sz w:val="44"/>
      <w:szCs w:val="22"/>
      <w:lang w:val="en-US" w:eastAsia="zh-CN" w:bidi="ar-SA"/>
    </w:rPr>
  </w:style>
  <w:style w:type="character" w:customStyle="1" w:styleId="37">
    <w:name w:val="Heading 3 Char"/>
    <w:link w:val="5"/>
    <w:qFormat/>
    <w:locked/>
    <w:uiPriority w:val="0"/>
    <w:rPr>
      <w:rFonts w:eastAsia="楷体"/>
      <w:sz w:val="32"/>
      <w:szCs w:val="22"/>
      <w:lang w:val="en-US" w:eastAsia="zh-CN" w:bidi="ar-SA"/>
    </w:rPr>
  </w:style>
  <w:style w:type="character" w:customStyle="1" w:styleId="38">
    <w:name w:val=" Char Char1"/>
    <w:link w:val="6"/>
    <w:semiHidden/>
    <w:qFormat/>
    <w:uiPriority w:val="0"/>
    <w:rPr>
      <w:rFonts w:ascii="Calibri" w:hAnsi="Calibri" w:eastAsia="宋体"/>
      <w:kern w:val="2"/>
      <w:sz w:val="21"/>
      <w:szCs w:val="22"/>
      <w:lang w:val="en-US" w:eastAsia="zh-CN" w:bidi="ar-SA"/>
    </w:rPr>
  </w:style>
  <w:style w:type="character" w:customStyle="1" w:styleId="39">
    <w:name w:val="批注框文本 Char"/>
    <w:basedOn w:val="31"/>
    <w:link w:val="18"/>
    <w:qFormat/>
    <w:uiPriority w:val="0"/>
    <w:rPr>
      <w:rFonts w:eastAsia="宋体"/>
      <w:kern w:val="2"/>
      <w:sz w:val="18"/>
      <w:szCs w:val="18"/>
      <w:lang w:val="en-US" w:eastAsia="zh-CN" w:bidi="ar-SA"/>
    </w:rPr>
  </w:style>
  <w:style w:type="character" w:customStyle="1" w:styleId="40">
    <w:name w:val="Footer Char"/>
    <w:basedOn w:val="31"/>
    <w:link w:val="19"/>
    <w:qFormat/>
    <w:uiPriority w:val="0"/>
    <w:rPr>
      <w:rFonts w:hint="default" w:ascii="Calibri" w:hAnsi="Calibri" w:eastAsia="宋体" w:cs="Calibri"/>
      <w:kern w:val="2"/>
      <w:sz w:val="18"/>
      <w:szCs w:val="24"/>
      <w:lang w:val="en-US" w:eastAsia="zh-CN" w:bidi="ar"/>
    </w:rPr>
  </w:style>
  <w:style w:type="character" w:customStyle="1" w:styleId="41">
    <w:name w:val="Header Char"/>
    <w:basedOn w:val="31"/>
    <w:link w:val="20"/>
    <w:qFormat/>
    <w:uiPriority w:val="0"/>
    <w:rPr>
      <w:rFonts w:hint="default" w:ascii="Calibri" w:hAnsi="Calibri" w:eastAsia="宋体" w:cs="Calibri"/>
      <w:kern w:val="2"/>
      <w:sz w:val="18"/>
      <w:szCs w:val="24"/>
      <w:lang w:val="en-US" w:eastAsia="zh-CN" w:bidi="ar"/>
    </w:rPr>
  </w:style>
  <w:style w:type="paragraph" w:customStyle="1" w:styleId="42">
    <w:name w:val="Default"/>
    <w:next w:val="1"/>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43">
    <w:name w:val="正文2"/>
    <w:basedOn w:val="1"/>
    <w:next w:val="1"/>
    <w:qFormat/>
    <w:uiPriority w:val="0"/>
    <w:rPr>
      <w:szCs w:val="24"/>
    </w:rPr>
  </w:style>
  <w:style w:type="character" w:customStyle="1" w:styleId="44">
    <w:name w:val="Heading 1 Char"/>
    <w:qFormat/>
    <w:locked/>
    <w:uiPriority w:val="0"/>
    <w:rPr>
      <w:rFonts w:ascii="Arial" w:hAnsi="Arial" w:eastAsia="方正小标宋简体"/>
      <w:color w:val="000000"/>
      <w:spacing w:val="0"/>
      <w:w w:val="100"/>
      <w:kern w:val="44"/>
      <w:sz w:val="22"/>
    </w:rPr>
  </w:style>
  <w:style w:type="character" w:customStyle="1" w:styleId="45">
    <w:name w:val="hei141"/>
    <w:basedOn w:val="31"/>
    <w:qFormat/>
    <w:uiPriority w:val="0"/>
    <w:rPr>
      <w:rFonts w:hint="eastAsia" w:ascii="宋体" w:hAnsi="宋体" w:eastAsia="宋体"/>
      <w:color w:val="000000"/>
      <w:sz w:val="21"/>
      <w:szCs w:val="21"/>
      <w:u w:val="none"/>
    </w:rPr>
  </w:style>
  <w:style w:type="character" w:customStyle="1" w:styleId="46">
    <w:name w:val="font21"/>
    <w:basedOn w:val="31"/>
    <w:qFormat/>
    <w:uiPriority w:val="0"/>
    <w:rPr>
      <w:rFonts w:hint="eastAsia" w:ascii="宋体" w:hAnsi="宋体" w:eastAsia="宋体" w:cs="宋体"/>
      <w:color w:val="000000"/>
      <w:sz w:val="20"/>
      <w:szCs w:val="20"/>
      <w:u w:val="none"/>
    </w:rPr>
  </w:style>
  <w:style w:type="character" w:customStyle="1" w:styleId="47">
    <w:name w:val="font11"/>
    <w:basedOn w:val="31"/>
    <w:qFormat/>
    <w:uiPriority w:val="0"/>
    <w:rPr>
      <w:rFonts w:hint="eastAsia" w:ascii="宋体" w:hAnsi="宋体" w:eastAsia="宋体" w:cs="宋体"/>
      <w:b/>
      <w:color w:val="000000"/>
      <w:sz w:val="32"/>
      <w:szCs w:val="32"/>
      <w:u w:val="none"/>
    </w:rPr>
  </w:style>
  <w:style w:type="character" w:customStyle="1" w:styleId="48">
    <w:name w:val="页眉 Char"/>
    <w:basedOn w:val="31"/>
    <w:qFormat/>
    <w:uiPriority w:val="0"/>
    <w:rPr>
      <w:rFonts w:eastAsia="宋体"/>
      <w:kern w:val="2"/>
      <w:sz w:val="18"/>
      <w:szCs w:val="18"/>
      <w:lang w:val="en-US" w:eastAsia="zh-CN" w:bidi="ar-SA"/>
    </w:rPr>
  </w:style>
  <w:style w:type="character" w:customStyle="1" w:styleId="49">
    <w:name w:val="NormalCharacter"/>
    <w:basedOn w:val="31"/>
    <w:link w:val="50"/>
    <w:qFormat/>
    <w:locked/>
    <w:uiPriority w:val="0"/>
    <w:rPr>
      <w:sz w:val="21"/>
      <w:lang w:bidi="ar-SA"/>
    </w:rPr>
  </w:style>
  <w:style w:type="paragraph" w:customStyle="1" w:styleId="50">
    <w:name w:val="UserStyle_14"/>
    <w:basedOn w:val="1"/>
    <w:link w:val="49"/>
    <w:qFormat/>
    <w:uiPriority w:val="0"/>
    <w:pPr>
      <w:widowControl/>
      <w:textAlignment w:val="baseline"/>
    </w:pPr>
    <w:rPr>
      <w:rFonts w:eastAsia="Times New Roman"/>
      <w:kern w:val="0"/>
    </w:rPr>
  </w:style>
  <w:style w:type="character" w:customStyle="1" w:styleId="51">
    <w:name w:val="t_tag"/>
    <w:basedOn w:val="31"/>
    <w:qFormat/>
    <w:uiPriority w:val="0"/>
  </w:style>
  <w:style w:type="character" w:customStyle="1" w:styleId="52">
    <w:name w:val="页脚 Char"/>
    <w:qFormat/>
    <w:uiPriority w:val="0"/>
    <w:rPr>
      <w:rFonts w:eastAsia="宋体"/>
      <w:kern w:val="2"/>
      <w:sz w:val="18"/>
      <w:lang w:val="en-US" w:eastAsia="zh-CN" w:bidi="ar-SA"/>
    </w:rPr>
  </w:style>
  <w:style w:type="paragraph" w:customStyle="1" w:styleId="53">
    <w:name w:val="列表段落1"/>
    <w:basedOn w:val="1"/>
    <w:qFormat/>
    <w:uiPriority w:val="0"/>
    <w:pPr>
      <w:ind w:firstLine="420" w:firstLineChars="200"/>
    </w:pPr>
    <w:rPr>
      <w:rFonts w:ascii="宋体" w:hAnsi="宋体" w:eastAsia="仿宋_GB2312"/>
      <w:sz w:val="32"/>
      <w:szCs w:val="32"/>
    </w:rPr>
  </w:style>
  <w:style w:type="paragraph" w:customStyle="1" w:styleId="54">
    <w:name w:val="Char Char Char1 Char Char Char Char Char Char Char"/>
    <w:basedOn w:val="1"/>
    <w:qFormat/>
    <w:uiPriority w:val="0"/>
    <w:rPr>
      <w:szCs w:val="24"/>
    </w:rPr>
  </w:style>
  <w:style w:type="paragraph" w:customStyle="1" w:styleId="55">
    <w:name w:val="Body text|1"/>
    <w:basedOn w:val="1"/>
    <w:qFormat/>
    <w:uiPriority w:val="0"/>
    <w:pPr>
      <w:spacing w:line="437" w:lineRule="auto"/>
      <w:ind w:firstLine="400"/>
    </w:pPr>
    <w:rPr>
      <w:rFonts w:ascii="宋体" w:hAnsi="宋体" w:cs="宋体"/>
      <w:sz w:val="28"/>
      <w:szCs w:val="28"/>
      <w:lang w:val="zh-TW" w:eastAsia="zh-TW" w:bidi="zh-TW"/>
    </w:rPr>
  </w:style>
  <w:style w:type="paragraph" w:customStyle="1" w:styleId="56">
    <w:name w:val=" Char"/>
    <w:basedOn w:val="1"/>
    <w:semiHidden/>
    <w:qFormat/>
    <w:uiPriority w:val="0"/>
    <w:rPr>
      <w:szCs w:val="24"/>
    </w:rPr>
  </w:style>
  <w:style w:type="paragraph" w:customStyle="1" w:styleId="5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8">
    <w:name w:val="UserStyle_0"/>
    <w:next w:val="1"/>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customStyle="1" w:styleId="5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BodyText"/>
    <w:basedOn w:val="1"/>
    <w:qFormat/>
    <w:uiPriority w:val="0"/>
    <w:pPr>
      <w:snapToGrid w:val="0"/>
      <w:spacing w:after="120" w:line="600" w:lineRule="exact"/>
      <w:textAlignment w:val="baseline"/>
    </w:pPr>
    <w:rPr>
      <w:rFonts w:eastAsia="仿宋_GB2312" w:cs="仿宋_GB2312"/>
      <w:sz w:val="32"/>
      <w:szCs w:val="24"/>
    </w:rPr>
  </w:style>
  <w:style w:type="paragraph" w:customStyle="1" w:styleId="61">
    <w:name w:val="表格"/>
    <w:basedOn w:val="1"/>
    <w:qFormat/>
    <w:uiPriority w:val="0"/>
    <w:pPr>
      <w:snapToGrid w:val="0"/>
      <w:jc w:val="center"/>
    </w:pPr>
    <w:rPr>
      <w:rFonts w:eastAsia="仿宋_GB2312"/>
      <w:sz w:val="24"/>
      <w:szCs w:val="21"/>
    </w:rPr>
  </w:style>
  <w:style w:type="paragraph" w:customStyle="1" w:styleId="62">
    <w:name w:val="列出段落1"/>
    <w:basedOn w:val="1"/>
    <w:qFormat/>
    <w:uiPriority w:val="0"/>
    <w:pPr>
      <w:ind w:firstLine="420" w:firstLineChars="200"/>
    </w:pPr>
    <w:rPr>
      <w:rFonts w:ascii="Calibri" w:hAnsi="Calibri"/>
      <w:szCs w:val="22"/>
    </w:rPr>
  </w:style>
  <w:style w:type="paragraph" w:customStyle="1" w:styleId="63">
    <w:name w:val="表内容"/>
    <w:basedOn w:val="1"/>
    <w:qFormat/>
    <w:uiPriority w:val="0"/>
    <w:pPr>
      <w:snapToGrid w:val="0"/>
      <w:spacing w:line="600" w:lineRule="exact"/>
      <w:jc w:val="center"/>
      <w:textAlignment w:val="baseline"/>
    </w:pPr>
    <w:rPr>
      <w:rFonts w:ascii="宋体" w:hAnsi="宋体" w:eastAsia="仿宋_GB2312" w:cs="仿宋_GB2312"/>
      <w:color w:val="000000"/>
      <w:sz w:val="32"/>
      <w:szCs w:val="21"/>
    </w:rPr>
  </w:style>
  <w:style w:type="paragraph" w:customStyle="1" w:styleId="64">
    <w:name w:val="公文主体"/>
    <w:basedOn w:val="1"/>
    <w:qFormat/>
    <w:uiPriority w:val="0"/>
    <w:pPr>
      <w:spacing w:line="580" w:lineRule="exact"/>
      <w:ind w:firstLine="200" w:firstLineChars="200"/>
    </w:pPr>
    <w:rPr>
      <w:rFonts w:ascii="Calibri" w:hAnsi="Calibri" w:eastAsia="仿宋_GB2312"/>
      <w:kern w:val="0"/>
      <w:sz w:val="24"/>
    </w:rPr>
  </w:style>
  <w:style w:type="paragraph" w:customStyle="1" w:styleId="65">
    <w:name w:val="Char Char Char Char"/>
    <w:basedOn w:val="1"/>
    <w:qFormat/>
    <w:uiPriority w:val="0"/>
    <w:rPr>
      <w:szCs w:val="21"/>
    </w:rPr>
  </w:style>
  <w:style w:type="paragraph" w:customStyle="1" w:styleId="66">
    <w:name w:val="Other|1"/>
    <w:basedOn w:val="1"/>
    <w:qFormat/>
    <w:uiPriority w:val="0"/>
    <w:pPr>
      <w:spacing w:line="437" w:lineRule="auto"/>
      <w:ind w:firstLine="400"/>
    </w:pPr>
    <w:rPr>
      <w:rFonts w:ascii="宋体" w:hAnsi="宋体" w:cs="宋体"/>
      <w:sz w:val="28"/>
      <w:szCs w:val="28"/>
      <w:lang w:val="zh-TW" w:eastAsia="zh-TW" w:bidi="zh-TW"/>
    </w:rPr>
  </w:style>
  <w:style w:type="paragraph" w:customStyle="1" w:styleId="67">
    <w:name w:val="List Paragraph"/>
    <w:basedOn w:val="1"/>
    <w:qFormat/>
    <w:uiPriority w:val="0"/>
    <w:pPr>
      <w:ind w:firstLine="420" w:firstLineChars="200"/>
    </w:pPr>
    <w:rPr>
      <w:rFonts w:ascii="Calibri" w:hAnsi="Calibri"/>
      <w:szCs w:val="22"/>
    </w:rPr>
  </w:style>
  <w:style w:type="paragraph" w:customStyle="1" w:styleId="68">
    <w:name w:val="列出段落"/>
    <w:basedOn w:val="1"/>
    <w:qFormat/>
    <w:uiPriority w:val="0"/>
    <w:pPr>
      <w:ind w:firstLine="420" w:firstLineChars="200"/>
    </w:pPr>
    <w:rPr>
      <w:rFonts w:ascii="Calibri" w:hAnsi="Calibri"/>
      <w:szCs w:val="22"/>
    </w:rPr>
  </w:style>
  <w:style w:type="table" w:customStyle="1" w:styleId="69">
    <w:name w:val="网格型1"/>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70">
    <w:name w:val="Table Normal"/>
    <w:unhideWhenUsed/>
    <w:qFormat/>
    <w:uiPriority w:val="0"/>
    <w:tblPr>
      <w:tblLayout w:type="fixed"/>
      <w:tblCellMar>
        <w:top w:w="0" w:type="dxa"/>
        <w:left w:w="0" w:type="dxa"/>
        <w:bottom w:w="0" w:type="dxa"/>
        <w:right w:w="0" w:type="dxa"/>
      </w:tblCellMar>
    </w:tblPr>
  </w:style>
  <w:style w:type="paragraph" w:customStyle="1" w:styleId="71">
    <w:name w:val="Char Char1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zdz\&#24029;&#22269;&#22303;&#36164;&#20826;&#32452;%5b2003%5d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川国土资党组[2003]12</Template>
  <Company> </Company>
  <Pages>20</Pages>
  <Words>6784</Words>
  <Characters>7887</Characters>
  <Lines>4</Lines>
  <Paragraphs>1</Paragraphs>
  <TotalTime>47</TotalTime>
  <ScaleCrop>false</ScaleCrop>
  <LinksUpToDate>false</LinksUpToDate>
  <CharactersWithSpaces>7969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2021-11-04T01:34:00Z</dcterms:created>
  <dc:creator>IBM</dc:creator>
  <cp:lastModifiedBy>Administrator</cp:lastModifiedBy>
  <cp:lastPrinted>2022-08-31T16:00:00Z</cp:lastPrinted>
  <dcterms:modified xsi:type="dcterms:W3CDTF">2022-09-01T02:20:48Z</dcterms:modified>
  <dc:title>四川省一九九九年土地证书年检工作总结</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480F35153E5B4778BEC41A65D507DBA0</vt:lpwstr>
  </property>
</Properties>
</file>