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 w:color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 w:color="auto"/>
          <w:lang w:val="en-US" w:eastAsia="zh-CN" w:bidi="ar"/>
        </w:rPr>
        <w:t>2023年度四川省城乡规划编制乙级资质单位</w:t>
      </w:r>
      <w:bookmarkStart w:id="0" w:name="FunCunProofread12028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 w:color="auto"/>
          <w:lang w:val="en-US" w:eastAsia="zh-CN" w:bidi="ar"/>
        </w:rPr>
        <w:t>“双随机、一公开”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 w:color="auto"/>
          <w:lang w:val="en-US" w:eastAsia="zh-CN" w:bidi="ar"/>
        </w:rPr>
        <w:t>检查结果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3373"/>
        <w:gridCol w:w="1011"/>
        <w:gridCol w:w="917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中建鸿腾建设集团有限公司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四川省建景规划设计有限公司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成都美且异规划设计研究院有限公司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四川省洛克规划设计有限公司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四川安智信实业有限公司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四川百城城市规划设计有限公司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首辅工程设计有限公司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四川盎然建筑工程设计有限公司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美筑建设工程有限公司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档案管理制度不完善（如合同缺失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四川省冶勘设计集团有限公司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四川中地时空规划设计有限公司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四川宏图都市建筑设计有限公司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四川鸿盛工程咨询有限公司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专业技术人员人数未达到规定人数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成都市自然资源调查利用研究院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（成都市卫星应用技术中心）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高级建筑师人数未达到规定人数。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四川幸福美丽城市规划设计有限公司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档案管理制度不完善（如合同缺失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四川匠景规划设计有限公司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中铁二十三局集团建筑设计研究院有限公司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四川自然城邦城乡规划设计有限责任公司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中维国际工程设计有限公司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1.注册规划师人数未达到规定人数。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2.管理制度缺失。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中科建研规划设计有限公司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四川蓝海环境发展有限公司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四川宏吉建筑设计有限公司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四川金园世家景观设计有限公司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中科华创国际工程设计顾问集团有限公司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成都有巢工程勘察设计有限公司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中科建研岩土工程有限公司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基准方中建筑设计股份有限公司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保密制度不完善。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中环城乡规划设计有限公司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注册规划师未达到规定人数。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成都海外贝林设计咨询有限公司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保密制度不完善。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中国市政工程西南设计研究总院有限公司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3F6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autoRedefine/>
    <w:qFormat/>
    <w:uiPriority w:val="0"/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2024-02-21T02:52:14Z</dcterms:created>
  <dc:creator>Administrator</dc:creator>
  <cp:lastModifiedBy>Administrator</cp:lastModifiedBy>
  <dcterms:modified xsi:type="dcterms:W3CDTF">2024-02-21T02:52:37Z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FD8EF145204B48E59E3B4FC952284475_12</vt:lpwstr>
  </property>
</Properties>
</file>