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AB331">
      <w:pPr>
        <w:spacing w:line="360" w:lineRule="auto"/>
        <w:ind w:left="783" w:hanging="783" w:hangingChars="150"/>
        <w:jc w:val="center"/>
        <w:outlineLvl w:val="0"/>
        <w:rPr>
          <w:rFonts w:hint="eastAsia" w:ascii="Times New Roman" w:hAnsi="Times New Roman" w:cs="Times New Roman"/>
          <w:b/>
          <w:sz w:val="52"/>
          <w:szCs w:val="52"/>
        </w:rPr>
      </w:pPr>
    </w:p>
    <w:p w14:paraId="69DE9DC3">
      <w:pPr>
        <w:spacing w:line="360" w:lineRule="auto"/>
        <w:ind w:left="783" w:hanging="783" w:hangingChars="15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14:paraId="071E0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《四川省乡城县洪措铅锌多金属矿普查实施方案》</w:t>
      </w:r>
    </w:p>
    <w:p w14:paraId="1CE5F7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评审意见书</w:t>
      </w:r>
    </w:p>
    <w:p w14:paraId="15436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川矿评勘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 w14:paraId="5A0C1996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60DD9A27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7FC6D7D7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691A6EFB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5EEF9A25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4908CED7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35F272F3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331932FC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7F5EA7CC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5674D0E1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27EE1A93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67E136F3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01290CCC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54D4FD0B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37E2ABC1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5DF9EB74">
      <w:pPr>
        <w:pStyle w:val="5"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四川省矿产资源储量评审中心</w:t>
      </w:r>
    </w:p>
    <w:p w14:paraId="5ADDB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w w:val="99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日</w:t>
      </w:r>
    </w:p>
    <w:p w14:paraId="6806917E">
      <w:pPr>
        <w:rPr>
          <w:rFonts w:ascii="Times New Roman" w:hAnsi="Times New Roman" w:eastAsia="仿宋_GB2312" w:cs="Times New Roman"/>
          <w:b/>
          <w:szCs w:val="21"/>
        </w:rPr>
      </w:pPr>
      <w:r>
        <w:rPr>
          <w:rFonts w:ascii="Times New Roman" w:hAnsi="Times New Roman" w:eastAsia="仿宋_GB2312" w:cs="Times New Roman"/>
          <w:b/>
          <w:szCs w:val="21"/>
        </w:rPr>
        <w:br w:type="page"/>
      </w:r>
    </w:p>
    <w:tbl>
      <w:tblPr>
        <w:tblStyle w:val="11"/>
        <w:tblpPr w:leftFromText="180" w:rightFromText="180" w:vertAnchor="page" w:horzAnchor="page" w:tblpXSpec="center" w:tblpY="1716"/>
        <w:tblW w:w="87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83"/>
        <w:gridCol w:w="354"/>
        <w:gridCol w:w="1342"/>
        <w:gridCol w:w="1500"/>
        <w:gridCol w:w="113"/>
        <w:gridCol w:w="1087"/>
        <w:gridCol w:w="1250"/>
        <w:gridCol w:w="765"/>
      </w:tblGrid>
      <w:tr w14:paraId="68E72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7DA7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申请单位</w:t>
            </w:r>
          </w:p>
        </w:tc>
        <w:tc>
          <w:tcPr>
            <w:tcW w:w="354" w:type="dxa"/>
          </w:tcPr>
          <w:p w14:paraId="72819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7" w:type="dxa"/>
            <w:gridSpan w:val="6"/>
            <w:vAlign w:val="center"/>
          </w:tcPr>
          <w:p w14:paraId="5A671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重庆市静一房地产开发有限公司</w:t>
            </w:r>
          </w:p>
        </w:tc>
      </w:tr>
      <w:tr w14:paraId="32A70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2384" w:type="dxa"/>
            <w:gridSpan w:val="2"/>
            <w:vAlign w:val="center"/>
          </w:tcPr>
          <w:p w14:paraId="2F3A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编制单位</w:t>
            </w:r>
          </w:p>
        </w:tc>
        <w:tc>
          <w:tcPr>
            <w:tcW w:w="354" w:type="dxa"/>
          </w:tcPr>
          <w:p w14:paraId="34F6D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7" w:type="dxa"/>
            <w:gridSpan w:val="6"/>
            <w:vAlign w:val="center"/>
          </w:tcPr>
          <w:p w14:paraId="30194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四川楷大博越环境工程有限公司</w:t>
            </w:r>
          </w:p>
        </w:tc>
      </w:tr>
      <w:tr w14:paraId="27A42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0CEF7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方案主编人员</w:t>
            </w:r>
          </w:p>
        </w:tc>
        <w:tc>
          <w:tcPr>
            <w:tcW w:w="354" w:type="dxa"/>
          </w:tcPr>
          <w:p w14:paraId="0C83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1342" w:type="dxa"/>
            <w:vAlign w:val="center"/>
          </w:tcPr>
          <w:p w14:paraId="3796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唐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勇</w:t>
            </w:r>
          </w:p>
        </w:tc>
        <w:tc>
          <w:tcPr>
            <w:tcW w:w="1500" w:type="dxa"/>
            <w:vAlign w:val="center"/>
          </w:tcPr>
          <w:p w14:paraId="1643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龙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霞</w:t>
            </w:r>
          </w:p>
        </w:tc>
        <w:tc>
          <w:tcPr>
            <w:tcW w:w="1200" w:type="dxa"/>
            <w:gridSpan w:val="2"/>
            <w:vAlign w:val="center"/>
          </w:tcPr>
          <w:p w14:paraId="02B93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250" w:type="dxa"/>
          </w:tcPr>
          <w:p w14:paraId="3CD94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765" w:type="dxa"/>
          </w:tcPr>
          <w:p w14:paraId="592C4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71CB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01C4B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54" w:type="dxa"/>
          </w:tcPr>
          <w:p w14:paraId="04DA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214DE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11131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DB73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3AF2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4346A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7E36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4D147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54" w:type="dxa"/>
          </w:tcPr>
          <w:p w14:paraId="2C151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13059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5AA16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3836F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74AEF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69C69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DDE1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72BAB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54" w:type="dxa"/>
          </w:tcPr>
          <w:p w14:paraId="0668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342" w:type="dxa"/>
            <w:vAlign w:val="center"/>
          </w:tcPr>
          <w:p w14:paraId="0637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0FFD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C38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50" w:type="dxa"/>
            <w:vAlign w:val="center"/>
          </w:tcPr>
          <w:p w14:paraId="24629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65" w:type="dxa"/>
            <w:vAlign w:val="center"/>
          </w:tcPr>
          <w:p w14:paraId="3496E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BDB6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46E5F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评审专家组</w:t>
            </w:r>
          </w:p>
        </w:tc>
        <w:tc>
          <w:tcPr>
            <w:tcW w:w="3309" w:type="dxa"/>
            <w:gridSpan w:val="4"/>
            <w:vAlign w:val="center"/>
          </w:tcPr>
          <w:p w14:paraId="76EE7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102" w:type="dxa"/>
            <w:gridSpan w:val="3"/>
            <w:vAlign w:val="center"/>
          </w:tcPr>
          <w:p w14:paraId="15003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303C3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401" w:type="dxa"/>
          </w:tcPr>
          <w:p w14:paraId="17663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44403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组长</w:t>
            </w:r>
          </w:p>
        </w:tc>
        <w:tc>
          <w:tcPr>
            <w:tcW w:w="354" w:type="dxa"/>
            <w:vAlign w:val="center"/>
          </w:tcPr>
          <w:p w14:paraId="7A30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7" w:type="dxa"/>
            <w:gridSpan w:val="6"/>
            <w:vAlign w:val="center"/>
          </w:tcPr>
          <w:p w14:paraId="261CB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胡夕鹏</w:t>
            </w:r>
          </w:p>
        </w:tc>
      </w:tr>
      <w:tr w14:paraId="4DB58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401" w:type="dxa"/>
          </w:tcPr>
          <w:p w14:paraId="6FF1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6D4D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成员</w:t>
            </w:r>
          </w:p>
        </w:tc>
        <w:tc>
          <w:tcPr>
            <w:tcW w:w="354" w:type="dxa"/>
            <w:vAlign w:val="center"/>
          </w:tcPr>
          <w:p w14:paraId="2F1FC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7" w:type="dxa"/>
            <w:gridSpan w:val="6"/>
            <w:vAlign w:val="center"/>
          </w:tcPr>
          <w:p w14:paraId="72E45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勾永东   张庆松</w:t>
            </w:r>
          </w:p>
        </w:tc>
      </w:tr>
      <w:tr w14:paraId="5FD1C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401" w:type="dxa"/>
          </w:tcPr>
          <w:p w14:paraId="43DB7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</w:tcPr>
          <w:p w14:paraId="64EE1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54" w:type="dxa"/>
          </w:tcPr>
          <w:p w14:paraId="624F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6057" w:type="dxa"/>
            <w:gridSpan w:val="6"/>
            <w:vAlign w:val="center"/>
          </w:tcPr>
          <w:p w14:paraId="49C0D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41A68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401" w:type="dxa"/>
          </w:tcPr>
          <w:p w14:paraId="373AD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</w:tcPr>
          <w:p w14:paraId="49EC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54" w:type="dxa"/>
          </w:tcPr>
          <w:p w14:paraId="0ADAE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6057" w:type="dxa"/>
            <w:gridSpan w:val="6"/>
            <w:vAlign w:val="center"/>
          </w:tcPr>
          <w:p w14:paraId="20B0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14556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401" w:type="dxa"/>
          </w:tcPr>
          <w:p w14:paraId="7176B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</w:tcPr>
          <w:p w14:paraId="6F65B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54" w:type="dxa"/>
          </w:tcPr>
          <w:p w14:paraId="76038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6057" w:type="dxa"/>
            <w:gridSpan w:val="6"/>
            <w:vAlign w:val="center"/>
          </w:tcPr>
          <w:p w14:paraId="62D6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5FEA3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5A1E6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评审方式</w:t>
            </w:r>
          </w:p>
        </w:tc>
        <w:tc>
          <w:tcPr>
            <w:tcW w:w="354" w:type="dxa"/>
            <w:vAlign w:val="center"/>
          </w:tcPr>
          <w:p w14:paraId="46BBE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:</w:t>
            </w:r>
          </w:p>
        </w:tc>
        <w:tc>
          <w:tcPr>
            <w:tcW w:w="6057" w:type="dxa"/>
            <w:gridSpan w:val="6"/>
            <w:vAlign w:val="center"/>
          </w:tcPr>
          <w:p w14:paraId="5FAF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会  审</w:t>
            </w:r>
          </w:p>
        </w:tc>
      </w:tr>
      <w:tr w14:paraId="5D405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0DC68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评审时间</w:t>
            </w:r>
          </w:p>
        </w:tc>
        <w:tc>
          <w:tcPr>
            <w:tcW w:w="354" w:type="dxa"/>
            <w:vAlign w:val="center"/>
          </w:tcPr>
          <w:p w14:paraId="20964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7" w:type="dxa"/>
            <w:gridSpan w:val="6"/>
            <w:vAlign w:val="center"/>
          </w:tcPr>
          <w:p w14:paraId="5447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日</w:t>
            </w:r>
          </w:p>
        </w:tc>
      </w:tr>
      <w:tr w14:paraId="60A95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1173E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评审会议地点</w:t>
            </w:r>
          </w:p>
        </w:tc>
        <w:tc>
          <w:tcPr>
            <w:tcW w:w="354" w:type="dxa"/>
            <w:vAlign w:val="center"/>
          </w:tcPr>
          <w:p w14:paraId="17BD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7" w:type="dxa"/>
            <w:gridSpan w:val="6"/>
            <w:vAlign w:val="center"/>
          </w:tcPr>
          <w:p w14:paraId="4CF92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lang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成都市</w:t>
            </w:r>
          </w:p>
        </w:tc>
      </w:tr>
      <w:tr w14:paraId="02FF6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1986D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54" w:type="dxa"/>
            <w:vAlign w:val="center"/>
          </w:tcPr>
          <w:p w14:paraId="236E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6057" w:type="dxa"/>
            <w:gridSpan w:val="6"/>
            <w:vAlign w:val="center"/>
          </w:tcPr>
          <w:p w14:paraId="5904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640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</w:tbl>
    <w:p w14:paraId="71E8C358"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br w:type="page"/>
      </w:r>
    </w:p>
    <w:p w14:paraId="3AC3ABDD">
      <w:pPr>
        <w:widowControl/>
        <w:jc w:val="center"/>
        <w:rPr>
          <w:rFonts w:hint="default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项目概况简表</w:t>
      </w:r>
    </w:p>
    <w:tbl>
      <w:tblPr>
        <w:tblStyle w:val="12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06"/>
        <w:gridCol w:w="2276"/>
        <w:gridCol w:w="2747"/>
      </w:tblGrid>
      <w:tr w14:paraId="5AF4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2" w:type="dxa"/>
            <w:vAlign w:val="center"/>
          </w:tcPr>
          <w:p w14:paraId="45457E8F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14:paraId="1F9318C8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四川省乡城县洪措铅锌多金属矿普查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实施方案</w:t>
            </w:r>
          </w:p>
        </w:tc>
      </w:tr>
      <w:tr w14:paraId="54AD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2" w:type="dxa"/>
            <w:vAlign w:val="center"/>
          </w:tcPr>
          <w:p w14:paraId="11FC8659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申请单位</w:t>
            </w:r>
          </w:p>
        </w:tc>
        <w:tc>
          <w:tcPr>
            <w:tcW w:w="7229" w:type="dxa"/>
            <w:gridSpan w:val="3"/>
            <w:vAlign w:val="center"/>
          </w:tcPr>
          <w:p w14:paraId="6EBDD84E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重庆市静一房地产开发有限公司</w:t>
            </w:r>
          </w:p>
        </w:tc>
      </w:tr>
      <w:tr w14:paraId="17C0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02" w:type="dxa"/>
            <w:vAlign w:val="center"/>
          </w:tcPr>
          <w:p w14:paraId="7D605CAF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勘查单位</w:t>
            </w:r>
          </w:p>
        </w:tc>
        <w:tc>
          <w:tcPr>
            <w:tcW w:w="7229" w:type="dxa"/>
            <w:gridSpan w:val="3"/>
            <w:vAlign w:val="center"/>
          </w:tcPr>
          <w:p w14:paraId="19F2533B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四川楷大博越环境工程有限公司</w:t>
            </w:r>
          </w:p>
        </w:tc>
      </w:tr>
      <w:tr w14:paraId="673B3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2" w:type="dxa"/>
            <w:vAlign w:val="center"/>
          </w:tcPr>
          <w:p w14:paraId="495615EA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项目所在省市</w:t>
            </w:r>
          </w:p>
        </w:tc>
        <w:tc>
          <w:tcPr>
            <w:tcW w:w="2206" w:type="dxa"/>
            <w:vAlign w:val="center"/>
          </w:tcPr>
          <w:p w14:paraId="1EDAB6CF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四川省甘孜州</w:t>
            </w:r>
          </w:p>
        </w:tc>
        <w:tc>
          <w:tcPr>
            <w:tcW w:w="2276" w:type="dxa"/>
            <w:vAlign w:val="center"/>
          </w:tcPr>
          <w:p w14:paraId="2C10913C">
            <w:pPr>
              <w:spacing w:before="93" w:beforeLines="30" w:after="93" w:afterLines="30"/>
              <w:ind w:firstLine="46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申请类型</w:t>
            </w:r>
          </w:p>
        </w:tc>
        <w:tc>
          <w:tcPr>
            <w:tcW w:w="2747" w:type="dxa"/>
            <w:vAlign w:val="center"/>
          </w:tcPr>
          <w:p w14:paraId="0016C060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探矿权延续</w:t>
            </w:r>
          </w:p>
        </w:tc>
      </w:tr>
      <w:tr w14:paraId="520F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02" w:type="dxa"/>
            <w:vAlign w:val="center"/>
          </w:tcPr>
          <w:p w14:paraId="7894D7F0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勘查矿种</w:t>
            </w:r>
          </w:p>
        </w:tc>
        <w:tc>
          <w:tcPr>
            <w:tcW w:w="2206" w:type="dxa"/>
            <w:vAlign w:val="center"/>
          </w:tcPr>
          <w:p w14:paraId="789550BE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</w:rPr>
              <w:t>铅锌多金属矿</w:t>
            </w:r>
          </w:p>
        </w:tc>
        <w:tc>
          <w:tcPr>
            <w:tcW w:w="2276" w:type="dxa"/>
            <w:vAlign w:val="center"/>
          </w:tcPr>
          <w:p w14:paraId="00E20387">
            <w:pPr>
              <w:spacing w:before="93" w:beforeLines="30" w:after="93" w:afterLines="30"/>
              <w:ind w:firstLine="46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勘查面积</w:t>
            </w:r>
          </w:p>
        </w:tc>
        <w:tc>
          <w:tcPr>
            <w:tcW w:w="2747" w:type="dxa"/>
            <w:vAlign w:val="center"/>
          </w:tcPr>
          <w:p w14:paraId="30207375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3.2535km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superscript"/>
              </w:rPr>
              <w:t>2</w:t>
            </w:r>
          </w:p>
        </w:tc>
      </w:tr>
      <w:tr w14:paraId="1606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2" w:type="dxa"/>
            <w:vAlign w:val="center"/>
          </w:tcPr>
          <w:p w14:paraId="51D1686F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勘查阶段</w:t>
            </w:r>
          </w:p>
        </w:tc>
        <w:tc>
          <w:tcPr>
            <w:tcW w:w="2206" w:type="dxa"/>
            <w:vAlign w:val="center"/>
          </w:tcPr>
          <w:p w14:paraId="494BD91F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普查</w:t>
            </w:r>
          </w:p>
        </w:tc>
        <w:tc>
          <w:tcPr>
            <w:tcW w:w="2276" w:type="dxa"/>
            <w:vAlign w:val="center"/>
          </w:tcPr>
          <w:p w14:paraId="257A943D">
            <w:pPr>
              <w:spacing w:before="93" w:beforeLines="30" w:after="93" w:afterLines="3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预算经费（万元）</w:t>
            </w:r>
          </w:p>
        </w:tc>
        <w:tc>
          <w:tcPr>
            <w:tcW w:w="2747" w:type="dxa"/>
            <w:vAlign w:val="center"/>
          </w:tcPr>
          <w:p w14:paraId="62BFC472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369.56</w:t>
            </w:r>
          </w:p>
        </w:tc>
      </w:tr>
      <w:tr w14:paraId="4231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1702" w:type="dxa"/>
            <w:vAlign w:val="center"/>
          </w:tcPr>
          <w:p w14:paraId="4B75C5B0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勘查范围</w:t>
            </w:r>
          </w:p>
          <w:p w14:paraId="005D3E23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拐点坐标</w:t>
            </w:r>
          </w:p>
        </w:tc>
        <w:tc>
          <w:tcPr>
            <w:tcW w:w="7229" w:type="dxa"/>
            <w:gridSpan w:val="3"/>
            <w:vAlign w:val="center"/>
          </w:tcPr>
          <w:tbl>
            <w:tblPr>
              <w:tblStyle w:val="11"/>
              <w:tblW w:w="4998" w:type="pct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0"/>
              <w:gridCol w:w="1536"/>
              <w:gridCol w:w="1431"/>
              <w:gridCol w:w="590"/>
              <w:gridCol w:w="1431"/>
              <w:gridCol w:w="1432"/>
            </w:tblGrid>
            <w:tr w14:paraId="71CB5BA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  <w:jc w:val="center"/>
              </w:trPr>
              <w:tc>
                <w:tcPr>
                  <w:tcW w:w="553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C4B90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1939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04E4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</w:t>
                  </w:r>
                  <w:r>
                    <w:rPr>
                      <w:rStyle w:val="20"/>
                      <w:rFonts w:hAnsi="Times New Roman"/>
                      <w:lang w:val="en-US" w:eastAsia="zh-CN" w:bidi="ar"/>
                    </w:rPr>
                    <w:t>国家大地坐标系</w:t>
                  </w:r>
                </w:p>
              </w:tc>
              <w:tc>
                <w:tcPr>
                  <w:tcW w:w="553" w:type="pct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704D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1954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A519A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</w:t>
                  </w:r>
                  <w:r>
                    <w:rPr>
                      <w:rStyle w:val="20"/>
                      <w:rFonts w:hAnsi="Times New Roman"/>
                      <w:lang w:val="en-US" w:eastAsia="zh-CN" w:bidi="ar"/>
                    </w:rPr>
                    <w:t>国家大地坐标系</w:t>
                  </w:r>
                </w:p>
              </w:tc>
            </w:tr>
            <w:tr w14:paraId="4B34C6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553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19F7AD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C919A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049B25">
                  <w:pPr>
                    <w:keepNext w:val="0"/>
                    <w:keepLines w:val="0"/>
                    <w:widowControl/>
                    <w:suppressLineNumbers w:val="0"/>
                    <w:ind w:firstLineChars="10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北纬</w:t>
                  </w:r>
                </w:p>
              </w:tc>
              <w:tc>
                <w:tcPr>
                  <w:tcW w:w="553" w:type="pct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BF8A9B">
                  <w:pPr>
                    <w:jc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1EE4F2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EE73542">
                  <w:pPr>
                    <w:keepNext w:val="0"/>
                    <w:keepLines w:val="0"/>
                    <w:widowControl/>
                    <w:suppressLineNumbers w:val="0"/>
                    <w:ind w:firstLineChars="100"/>
                    <w:jc w:val="center"/>
                    <w:textAlignment w:val="center"/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仿宋_GB2312" w:hAnsi="宋体" w:eastAsia="仿宋_GB2312" w:cs="仿宋_GB2312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北纬</w:t>
                  </w:r>
                </w:p>
              </w:tc>
            </w:tr>
            <w:tr w14:paraId="0B316D9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BE1E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7D0D4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99°58′56.091″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C5CAD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28°49′40.005″</w:t>
                  </w:r>
                </w:p>
              </w:tc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68B6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22F065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99°59′55.934″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3ED15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28°49′08.848″</w:t>
                  </w:r>
                </w:p>
              </w:tc>
            </w:tr>
            <w:tr w14:paraId="665EABD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9958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1CC05EF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99°59′55.853″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979C9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28°49′40.003″</w:t>
                  </w:r>
                </w:p>
              </w:tc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04407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98CB3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99°59′55.611″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D2C1D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28°48′34.985″</w:t>
                  </w:r>
                </w:p>
              </w:tc>
            </w:tr>
            <w:tr w14:paraId="217D64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C1EE7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AF3D0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99°59′55.691″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3C777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28°49′23.101″</w:t>
                  </w:r>
                </w:p>
              </w:tc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4AC4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291816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99°59′15.599″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6A5A2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28°48′35.001″</w:t>
                  </w:r>
                </w:p>
              </w:tc>
            </w:tr>
            <w:tr w14:paraId="2B24CD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CAA3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ED0E2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100°00′06.074″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449762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28°49′23.024″</w:t>
                  </w:r>
                </w:p>
              </w:tc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33607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5879B6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99°59′15.599″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59850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28°48′42.361″</w:t>
                  </w:r>
                </w:p>
              </w:tc>
            </w:tr>
            <w:tr w14:paraId="32A7B11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90D1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1EB3FB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100°00′06.074″</w:t>
                  </w:r>
                </w:p>
              </w:tc>
              <w:tc>
                <w:tcPr>
                  <w:tcW w:w="96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10752F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28°49′08.848″</w:t>
                  </w:r>
                </w:p>
              </w:tc>
              <w:tc>
                <w:tcPr>
                  <w:tcW w:w="553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2E0E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7F36DC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99°58′55.552″</w:t>
                  </w:r>
                </w:p>
              </w:tc>
              <w:tc>
                <w:tcPr>
                  <w:tcW w:w="977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bottom"/>
                </w:tcPr>
                <w:p w14:paraId="33FD55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28°48′42.508″</w:t>
                  </w:r>
                </w:p>
              </w:tc>
            </w:tr>
          </w:tbl>
          <w:p w14:paraId="2FEDCC8E">
            <w:pPr>
              <w:spacing w:before="93" w:beforeLines="30" w:after="93" w:afterLines="3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84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702" w:type="dxa"/>
            <w:vAlign w:val="center"/>
          </w:tcPr>
          <w:p w14:paraId="00C46DEE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目的任务</w:t>
            </w:r>
          </w:p>
        </w:tc>
        <w:tc>
          <w:tcPr>
            <w:tcW w:w="7229" w:type="dxa"/>
            <w:gridSpan w:val="3"/>
            <w:vAlign w:val="center"/>
          </w:tcPr>
          <w:p w14:paraId="1E0C2206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全面收集综合研究勘查区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已有的地、物、化、遥及典型矿床等资料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，通过地质测量、激电中梯测量对前期圈定的异常进行查证，根据地质测量、物化探成果，对发现的矿（化）体布设采样钻（代槽浅钻）进行追索。根据前期成果，在深部采用钻探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对已发现的矿（化）体、矿化线索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圈定的异常进行验证、控制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，初步查明勘查区成矿地质条件和矿体地质特征，估算推断资源量，评价区内是否有进一步勘查工作价值，择机圈定详查范围。</w:t>
            </w:r>
          </w:p>
        </w:tc>
      </w:tr>
      <w:tr w14:paraId="2C4E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02" w:type="dxa"/>
            <w:vAlign w:val="center"/>
          </w:tcPr>
          <w:p w14:paraId="3FC05095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技术方法</w:t>
            </w:r>
          </w:p>
        </w:tc>
        <w:tc>
          <w:tcPr>
            <w:tcW w:w="7229" w:type="dxa"/>
            <w:gridSpan w:val="3"/>
            <w:vAlign w:val="center"/>
          </w:tcPr>
          <w:p w14:paraId="11762559">
            <w:pPr>
              <w:pStyle w:val="1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采用地质测量、物探测量、地表浅钻和深部钻探、采样测试等技术方法手段，圈定物化探异常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进行查证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，以期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发现、圈定矿（化）体，并对其进行稀疏控制，初步查明矿（化）体特征、矿石质量及矿石类型。</w:t>
            </w:r>
          </w:p>
        </w:tc>
      </w:tr>
      <w:tr w14:paraId="72A7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02" w:type="dxa"/>
            <w:vAlign w:val="center"/>
          </w:tcPr>
          <w:p w14:paraId="26C65652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主要实物</w:t>
            </w:r>
          </w:p>
          <w:p w14:paraId="4F8FB61E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工作量</w:t>
            </w:r>
          </w:p>
        </w:tc>
        <w:tc>
          <w:tcPr>
            <w:tcW w:w="7229" w:type="dxa"/>
            <w:gridSpan w:val="3"/>
            <w:vAlign w:val="center"/>
          </w:tcPr>
          <w:p w14:paraId="3F6B56AF">
            <w:pPr>
              <w:spacing w:before="93" w:beforeLines="30" w:after="93" w:afterLines="30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1:5000地质测量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（草测）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3.2535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superscript"/>
                <w:lang w:val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1:2000地质剖面测量2.5km，激电中梯测量2.09km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，激电中梯度剖面测量3km，采样钻1000m，钻探1000m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，以及岩矿分析测试等工作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</w:t>
            </w:r>
          </w:p>
        </w:tc>
      </w:tr>
      <w:tr w14:paraId="663F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2" w:type="dxa"/>
            <w:vAlign w:val="center"/>
          </w:tcPr>
          <w:p w14:paraId="0DCC3D7F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预期成果</w:t>
            </w:r>
          </w:p>
        </w:tc>
        <w:tc>
          <w:tcPr>
            <w:tcW w:w="7229" w:type="dxa"/>
            <w:gridSpan w:val="3"/>
            <w:vAlign w:val="center"/>
          </w:tcPr>
          <w:p w14:paraId="7E7EBFE0">
            <w:pPr>
              <w:spacing w:before="93" w:beforeLines="30" w:after="93" w:afterLines="3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提交《四川省乡城县洪措铅锌多金属矿普查报告》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  <w:szCs w:val="24"/>
              </w:rPr>
              <w:t>。</w:t>
            </w:r>
          </w:p>
        </w:tc>
      </w:tr>
    </w:tbl>
    <w:p w14:paraId="4D7ABC82">
      <w:pPr>
        <w:pStyle w:val="1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A9B7AF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为办理探矿权延续，重庆市静一房地产开发有限公司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0"/>
          <w:szCs w:val="30"/>
        </w:rPr>
        <w:t>四川楷大博越环境工程有限公司编制了《四川省乡城县洪措铅锌多金属矿普查实施方案》（以下简称《方案》），四川省矿产资源储量评审中心组织专家对该《方案》进行了审查，编制单位按照专家意见对《方案》进行了修改完善，经专家组复核，形成评审意见如下。</w:t>
      </w:r>
    </w:p>
    <w:p w14:paraId="6CEB5E2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一、</w:t>
      </w:r>
      <w:bookmarkStart w:id="0" w:name="_Toc32566"/>
      <w:bookmarkStart w:id="1" w:name="_Toc211"/>
      <w:r>
        <w:rPr>
          <w:rFonts w:hint="default" w:ascii="Times New Roman" w:hAnsi="Times New Roman" w:eastAsia="黑体" w:cs="Times New Roman"/>
          <w:sz w:val="30"/>
          <w:szCs w:val="30"/>
        </w:rPr>
        <w:t>位置、交通</w:t>
      </w:r>
      <w:bookmarkEnd w:id="0"/>
      <w:bookmarkEnd w:id="1"/>
    </w:p>
    <w:p w14:paraId="79894E5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勘查区位于四川省乡城县120°方位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直距约23km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乡城县青麦乡。从乡城县经省道S217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青麦乡政府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约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11km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/>
        </w:rPr>
        <w:t>沿县级公路经仁堆村行驶约20km至鄂则其拥沟，沟内行走约1km可至勘查区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交通较方便。</w:t>
      </w:r>
    </w:p>
    <w:p w14:paraId="36433C8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二、项目概况</w:t>
      </w:r>
    </w:p>
    <w:p w14:paraId="4906ADA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四川省乡城县洪措铅锌多金属矿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探矿权人为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重庆市静一房地产开发有限公司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，现持勘查许可证由四川省自然资源厅颁发，证号T5100002009073010031533，有效期限自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2019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</w:rPr>
        <w:t>06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30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日至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2024年6月30日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。探矿权范围由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4个拐点圈闭，面积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4.0703km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，拐点坐标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（2000国家大地坐标系）见下表。</w:t>
      </w:r>
    </w:p>
    <w:tbl>
      <w:tblPr>
        <w:tblStyle w:val="11"/>
        <w:tblW w:w="8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780"/>
        <w:gridCol w:w="1775"/>
        <w:gridCol w:w="688"/>
        <w:gridCol w:w="1712"/>
        <w:gridCol w:w="1641"/>
      </w:tblGrid>
      <w:tr w14:paraId="026DA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4685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拐点号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D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东经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9CE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北纬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6E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拐点号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A5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东经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1D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北纬</w:t>
            </w:r>
          </w:p>
        </w:tc>
      </w:tr>
      <w:tr w14:paraId="0553B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56C3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1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0D84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99°58′55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7D3B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28°49′40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D1A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3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D0E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100°00′10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6B4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28°48′35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</w:tr>
      <w:tr w14:paraId="7C392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8E3F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2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8433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100°00′10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1253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28°49′40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85AA2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4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3A4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99°58′55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E9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28°48′35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.000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″</w:t>
            </w:r>
          </w:p>
        </w:tc>
      </w:tr>
    </w:tbl>
    <w:p w14:paraId="73528AB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本次拟申请探矿权延续，按规定缩减面积后，探矿权范围由10个拐点圈闭，面积3.2535km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。拟申请延续的探矿权范围拐点坐标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（2000国家大地坐标系）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见下表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tbl>
      <w:tblPr>
        <w:tblStyle w:val="11"/>
        <w:tblW w:w="8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780"/>
        <w:gridCol w:w="1775"/>
        <w:gridCol w:w="688"/>
        <w:gridCol w:w="1712"/>
        <w:gridCol w:w="1641"/>
      </w:tblGrid>
      <w:tr w14:paraId="52DF7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33A2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拐点号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54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东经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DF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北纬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B05F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  <w:t>拐点号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83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东经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09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北纬</w:t>
            </w:r>
          </w:p>
        </w:tc>
      </w:tr>
      <w:tr w14:paraId="45091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9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FD6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99°58′56.091″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D4A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28°49′40.005″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EB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D5A3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99°59′55.934″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0BB0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28°49′08.848″</w:t>
            </w:r>
          </w:p>
        </w:tc>
      </w:tr>
      <w:tr w14:paraId="07C64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4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4BC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99°59′55.853″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FC3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28°49′40.003″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1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35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99°59′55.611″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3E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28°48′34.985″</w:t>
            </w:r>
          </w:p>
        </w:tc>
      </w:tr>
      <w:tr w14:paraId="0DC81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B54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99°59′55.691″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F979F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28°49′23.101″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0F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6CD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99°59′15.599″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5AA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28°48′35.001″</w:t>
            </w:r>
          </w:p>
        </w:tc>
      </w:tr>
      <w:tr w14:paraId="2EFEE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B0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A90F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100°00′06.074″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D6D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28°49′23.024″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3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159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99°59′15.599″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46E4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28°48′42.361″</w:t>
            </w:r>
          </w:p>
        </w:tc>
      </w:tr>
      <w:tr w14:paraId="43FF6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  <w:jc w:val="center"/>
        </w:trPr>
        <w:tc>
          <w:tcPr>
            <w:tcW w:w="7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A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307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100°00′06.074″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D9E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28°49′08.848″</w:t>
            </w:r>
          </w:p>
        </w:tc>
        <w:tc>
          <w:tcPr>
            <w:tcW w:w="68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2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02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99°58′55.552″</w:t>
            </w:r>
          </w:p>
        </w:tc>
        <w:tc>
          <w:tcPr>
            <w:tcW w:w="164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6670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28°48′42.508″</w:t>
            </w:r>
          </w:p>
        </w:tc>
      </w:tr>
    </w:tbl>
    <w:p w14:paraId="400A12C4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r>
        <w:rPr>
          <w:rFonts w:ascii="黑体" w:hAnsi="黑体" w:eastAsia="黑体" w:cs="黑体"/>
          <w:sz w:val="30"/>
          <w:szCs w:val="30"/>
        </w:rPr>
        <w:t>审查意见</w:t>
      </w:r>
    </w:p>
    <w:p w14:paraId="7FFF8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1.《方案》收集了勘查区内已有区域地质和矿区地质成果，为本次普查设计提供了地质依据。</w:t>
      </w:r>
    </w:p>
    <w:p w14:paraId="60D97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2.按照“目标明确、投入适当，综合勘查、主次兼顾，整体部署、分步实施，因变施策，适时调整”的原则，利用1:5000地质测量、激电中梯测量、激电中梯度剖面测量和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样钻（代槽浅钻）、钻探勘查手段，采用循序渐进的工作程序，具有可操作性，技术路线和勘查手段合理。</w:t>
      </w:r>
    </w:p>
    <w:p w14:paraId="52577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3.普查工作分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个年度实施，其中第一年度为找矿评价阶段，在全区范围内开展1:5000地质测量、激电中梯测量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进一步圈定找矿靶区，以少量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样钻（代槽浅钻）对异常浓度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集中地段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和发现的矿化线索进行稀疏控制和追索，根据第一个年度勘查成果，优化、调整《方案》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第二年度采用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样钻、钻探工程对矿（化）体、异常进行验证、控制，初步了解共生、伴生矿产的种类、含量、赋存特点，研究其综合利用的可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能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性。勘查工作总体部署、年度安排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设计主要实物工作量较为合理。</w:t>
      </w:r>
    </w:p>
    <w:p w14:paraId="202D4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</w:t>
      </w:r>
      <w:r>
        <w:rPr>
          <w:rFonts w:hint="default" w:ascii="Times New Roman" w:hAnsi="Times New Roman" w:eastAsia="仿宋_GB2312" w:cs="Times New Roman"/>
          <w:spacing w:val="0"/>
          <w:kern w:val="0"/>
          <w:sz w:val="30"/>
          <w:szCs w:val="30"/>
          <w:lang w:val="en-US" w:eastAsia="zh-CN" w:bidi="ar-SA"/>
        </w:rPr>
        <w:t>《方案》预算依据中国地质调查局《地质调查项目预算标准》（2021年）编制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0"/>
          <w:szCs w:val="30"/>
          <w:lang w:val="en-US" w:eastAsia="zh-CN" w:bidi="ar-SA"/>
        </w:rPr>
        <w:t>预算工作量与设计相符，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符合项目所在地市场情况。</w:t>
      </w:r>
    </w:p>
    <w:p w14:paraId="756BF1D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5.项目组织管理机构健全，项目人员专业结构较合理，分工明确，质量与安全保障措施得当，绿色勘查措施具体可行。</w:t>
      </w:r>
    </w:p>
    <w:p w14:paraId="7EB49A9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</w:t>
      </w:r>
      <w:r>
        <w:rPr>
          <w:rFonts w:ascii="黑体" w:hAnsi="黑体" w:eastAsia="黑体" w:cs="黑体"/>
          <w:sz w:val="30"/>
          <w:szCs w:val="30"/>
        </w:rPr>
        <w:t>存在问题与建议</w:t>
      </w:r>
    </w:p>
    <w:p w14:paraId="0C72FEB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项目实施过程中应强化资料整理和综合研究，根据异常及其它最新找矿线索，及时调整、优化工程设计，避免按方案机械、盲目施工。当地质情况发生较大变化时，及时进行设计变更。</w:t>
      </w:r>
    </w:p>
    <w:p w14:paraId="4582B4D2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</w:t>
      </w:r>
      <w:r>
        <w:rPr>
          <w:rFonts w:ascii="黑体" w:hAnsi="黑体" w:eastAsia="黑体" w:cs="黑体"/>
          <w:sz w:val="30"/>
          <w:szCs w:val="30"/>
        </w:rPr>
        <w:t>结论</w:t>
      </w:r>
    </w:p>
    <w:p w14:paraId="2F328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《方案》编制依据较充分，目标任务明确，勘查技术方法、勘查手段、工作部署总体合理，主要实物工作量可满足普查工作需要。同意通过审查。</w:t>
      </w:r>
    </w:p>
    <w:p w14:paraId="57EAC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hint="eastAsia" w:ascii="Times New Roman" w:hAnsi="Times New Roman" w:eastAsia="仿宋_GB2312" w:cs="Times New Roman"/>
          <w:sz w:val="30"/>
          <w:szCs w:val="30"/>
        </w:rPr>
      </w:pPr>
    </w:p>
    <w:p w14:paraId="7C4FA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附件:《</w:t>
      </w:r>
      <w:r>
        <w:rPr>
          <w:rFonts w:ascii="Times New Roman" w:hAnsi="Times New Roman" w:eastAsia="仿宋_GB2312" w:cs="Times New Roman"/>
          <w:sz w:val="30"/>
          <w:szCs w:val="30"/>
        </w:rPr>
        <w:t>四川省乡城县洪措铅锌多金属矿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普查</w:t>
      </w:r>
      <w:r>
        <w:rPr>
          <w:rFonts w:ascii="Times New Roman" w:hAnsi="Times New Roman" w:eastAsia="仿宋_GB2312" w:cs="Times New Roman"/>
          <w:sz w:val="30"/>
          <w:szCs w:val="30"/>
        </w:rPr>
        <w:t>实施方案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》评审专家组签名表</w:t>
      </w:r>
    </w:p>
    <w:p w14:paraId="2840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bookmarkStart w:id="2" w:name="_GoBack"/>
      <w:bookmarkEnd w:id="2"/>
    </w:p>
    <w:p w14:paraId="68D3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 w:firstLineChars="2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                  专家组长：</w:t>
      </w:r>
    </w:p>
    <w:p w14:paraId="67BCE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4800" w:firstLineChars="16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2024年7月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YTU1MzQyYWIwODU5OWNiZjMwYThkY2Y2ZDVkNGQifQ=="/>
  </w:docVars>
  <w:rsids>
    <w:rsidRoot w:val="33630667"/>
    <w:rsid w:val="000113B5"/>
    <w:rsid w:val="000261C1"/>
    <w:rsid w:val="00050BB0"/>
    <w:rsid w:val="000A446E"/>
    <w:rsid w:val="000C19D8"/>
    <w:rsid w:val="000F3AA2"/>
    <w:rsid w:val="000F70A4"/>
    <w:rsid w:val="00156020"/>
    <w:rsid w:val="00173097"/>
    <w:rsid w:val="00183ACD"/>
    <w:rsid w:val="001952B0"/>
    <w:rsid w:val="001C0523"/>
    <w:rsid w:val="001F6623"/>
    <w:rsid w:val="002048B0"/>
    <w:rsid w:val="002164D7"/>
    <w:rsid w:val="00243573"/>
    <w:rsid w:val="00270E88"/>
    <w:rsid w:val="00272E90"/>
    <w:rsid w:val="00297629"/>
    <w:rsid w:val="002D7ECD"/>
    <w:rsid w:val="002F2EAA"/>
    <w:rsid w:val="002F3DC5"/>
    <w:rsid w:val="00315EE5"/>
    <w:rsid w:val="0032294B"/>
    <w:rsid w:val="00350714"/>
    <w:rsid w:val="00360272"/>
    <w:rsid w:val="003B1563"/>
    <w:rsid w:val="00400020"/>
    <w:rsid w:val="004309FF"/>
    <w:rsid w:val="00454F18"/>
    <w:rsid w:val="004A4922"/>
    <w:rsid w:val="004B7E8C"/>
    <w:rsid w:val="004D3617"/>
    <w:rsid w:val="004D3910"/>
    <w:rsid w:val="00543141"/>
    <w:rsid w:val="00547799"/>
    <w:rsid w:val="00553DFB"/>
    <w:rsid w:val="00557D76"/>
    <w:rsid w:val="005834CE"/>
    <w:rsid w:val="00592A17"/>
    <w:rsid w:val="005A2483"/>
    <w:rsid w:val="005C49F6"/>
    <w:rsid w:val="005F52AD"/>
    <w:rsid w:val="006367A2"/>
    <w:rsid w:val="006900D2"/>
    <w:rsid w:val="006B673B"/>
    <w:rsid w:val="006C10EE"/>
    <w:rsid w:val="00721D4D"/>
    <w:rsid w:val="00735E8A"/>
    <w:rsid w:val="00736475"/>
    <w:rsid w:val="00753C11"/>
    <w:rsid w:val="00760A50"/>
    <w:rsid w:val="00767D1A"/>
    <w:rsid w:val="007947E2"/>
    <w:rsid w:val="007A20F3"/>
    <w:rsid w:val="007C20C2"/>
    <w:rsid w:val="0082651F"/>
    <w:rsid w:val="00857CF8"/>
    <w:rsid w:val="008844E1"/>
    <w:rsid w:val="008C6952"/>
    <w:rsid w:val="008E7030"/>
    <w:rsid w:val="008F4542"/>
    <w:rsid w:val="00907C55"/>
    <w:rsid w:val="00993864"/>
    <w:rsid w:val="00993D21"/>
    <w:rsid w:val="009A37DA"/>
    <w:rsid w:val="009F6C5D"/>
    <w:rsid w:val="00A577FA"/>
    <w:rsid w:val="00A650CB"/>
    <w:rsid w:val="00AE557A"/>
    <w:rsid w:val="00B07B8B"/>
    <w:rsid w:val="00B26F20"/>
    <w:rsid w:val="00B45A45"/>
    <w:rsid w:val="00BA52C9"/>
    <w:rsid w:val="00BE18AC"/>
    <w:rsid w:val="00BF76EE"/>
    <w:rsid w:val="00C05E5C"/>
    <w:rsid w:val="00C21BD6"/>
    <w:rsid w:val="00C46365"/>
    <w:rsid w:val="00C47996"/>
    <w:rsid w:val="00C57417"/>
    <w:rsid w:val="00C9163B"/>
    <w:rsid w:val="00C95EE1"/>
    <w:rsid w:val="00CA68BE"/>
    <w:rsid w:val="00CF2DEF"/>
    <w:rsid w:val="00D26979"/>
    <w:rsid w:val="00D40A61"/>
    <w:rsid w:val="00D744CA"/>
    <w:rsid w:val="00DF56A1"/>
    <w:rsid w:val="00E16D85"/>
    <w:rsid w:val="00E24E8E"/>
    <w:rsid w:val="00E46DC3"/>
    <w:rsid w:val="00EA4E89"/>
    <w:rsid w:val="00EB3317"/>
    <w:rsid w:val="00EC1379"/>
    <w:rsid w:val="00EC3B89"/>
    <w:rsid w:val="00F10D1D"/>
    <w:rsid w:val="00F21889"/>
    <w:rsid w:val="00F256CD"/>
    <w:rsid w:val="00FA64D8"/>
    <w:rsid w:val="00FC00A5"/>
    <w:rsid w:val="00FC671D"/>
    <w:rsid w:val="00FC6A9B"/>
    <w:rsid w:val="00FD751C"/>
    <w:rsid w:val="00FE0F1B"/>
    <w:rsid w:val="03CF38BD"/>
    <w:rsid w:val="0AF5525E"/>
    <w:rsid w:val="0E622650"/>
    <w:rsid w:val="18B42547"/>
    <w:rsid w:val="1AD577C6"/>
    <w:rsid w:val="1F4C528D"/>
    <w:rsid w:val="1F726F9D"/>
    <w:rsid w:val="1F8169D4"/>
    <w:rsid w:val="1FE07DE3"/>
    <w:rsid w:val="21B24A4C"/>
    <w:rsid w:val="221E4CC8"/>
    <w:rsid w:val="261F020B"/>
    <w:rsid w:val="2DC7118A"/>
    <w:rsid w:val="33630667"/>
    <w:rsid w:val="349A299D"/>
    <w:rsid w:val="366701EA"/>
    <w:rsid w:val="3758774D"/>
    <w:rsid w:val="3B121D3E"/>
    <w:rsid w:val="40F6645A"/>
    <w:rsid w:val="443E7D02"/>
    <w:rsid w:val="46AB2654"/>
    <w:rsid w:val="48912B54"/>
    <w:rsid w:val="498D72D3"/>
    <w:rsid w:val="4F9111A0"/>
    <w:rsid w:val="569C6DA8"/>
    <w:rsid w:val="5F3D3386"/>
    <w:rsid w:val="64E21E2A"/>
    <w:rsid w:val="659F5F6D"/>
    <w:rsid w:val="660B29D4"/>
    <w:rsid w:val="6649771A"/>
    <w:rsid w:val="67EB6751"/>
    <w:rsid w:val="690225F9"/>
    <w:rsid w:val="729B08C7"/>
    <w:rsid w:val="7712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99"/>
    <w:pPr>
      <w:adjustRightInd w:val="0"/>
      <w:snapToGrid w:val="0"/>
      <w:spacing w:after="120" w:line="360" w:lineRule="auto"/>
      <w:ind w:firstLine="200" w:firstLineChars="200"/>
    </w:pPr>
    <w:rPr>
      <w:rFonts w:ascii="??_GB2312" w:hAnsi="Times New Roman" w:eastAsia="Times New Roman" w:cs="Times New Roman"/>
      <w:sz w:val="24"/>
    </w:r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2"/>
    <w:basedOn w:val="1"/>
    <w:qFormat/>
    <w:uiPriority w:val="0"/>
    <w:pPr>
      <w:spacing w:line="360" w:lineRule="auto"/>
      <w:ind w:firstLine="560" w:firstLineChars="200"/>
    </w:pPr>
    <w:rPr>
      <w:sz w:val="28"/>
      <w:szCs w:val="28"/>
    </w:rPr>
  </w:style>
  <w:style w:type="paragraph" w:styleId="9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link w:val="17"/>
    <w:qFormat/>
    <w:uiPriority w:val="99"/>
    <w:pPr>
      <w:ind w:firstLine="420" w:firstLineChars="200"/>
    </w:pPr>
    <w:rPr>
      <w:rFonts w:ascii="仿宋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2"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5">
    <w:name w:val="标题 2 字符"/>
    <w:basedOn w:val="13"/>
    <w:link w:val="3"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6">
    <w:name w:val="标题 3 字符"/>
    <w:basedOn w:val="13"/>
    <w:link w:val="4"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7">
    <w:name w:val="正文文本首行缩进 2 字符"/>
    <w:basedOn w:val="13"/>
    <w:link w:val="10"/>
    <w:qFormat/>
    <w:uiPriority w:val="99"/>
    <w:rPr>
      <w:rFonts w:ascii="仿宋" w:hAnsi="宋体"/>
      <w:kern w:val="2"/>
      <w:sz w:val="28"/>
      <w:szCs w:val="24"/>
    </w:rPr>
  </w:style>
  <w:style w:type="paragraph" w:customStyle="1" w:styleId="18">
    <w:name w:val="0"/>
    <w:basedOn w:val="1"/>
    <w:qFormat/>
    <w:uiPriority w:val="0"/>
    <w:pPr>
      <w:widowControl/>
      <w:snapToGrid w:val="0"/>
      <w:ind w:firstLine="480" w:firstLineChars="200"/>
    </w:pPr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9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font11"/>
    <w:basedOn w:val="13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FA04-FC6E-4A04-8EF9-F55558B59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1909</Words>
  <Characters>2655</Characters>
  <Lines>24</Lines>
  <Paragraphs>6</Paragraphs>
  <TotalTime>7</TotalTime>
  <ScaleCrop>false</ScaleCrop>
  <LinksUpToDate>false</LinksUpToDate>
  <CharactersWithSpaces>2690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2024-06-03T02:15:00Z</dcterms:created>
  <dc:creator>陈燃</dc:creator>
  <cp:lastModifiedBy>...</cp:lastModifiedBy>
  <cp:lastPrinted>2024-07-23T09:59:00Z</cp:lastPrinted>
  <dcterms:modified xsi:type="dcterms:W3CDTF">2024-08-12T10:04:57Z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CAE79876FCF2484AA188CAA53101F0B2_11</vt:lpwstr>
  </property>
</Properties>
</file>