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0E63D">
      <w:pPr>
        <w:spacing w:line="360" w:lineRule="auto"/>
        <w:ind w:left="783" w:hanging="783" w:hangingChars="150"/>
        <w:jc w:val="center"/>
        <w:outlineLvl w:val="0"/>
        <w:rPr>
          <w:rFonts w:hint="eastAsia" w:ascii="Times New Roman" w:hAnsi="Times New Roman" w:cs="Times New Roman"/>
          <w:b/>
          <w:sz w:val="52"/>
          <w:szCs w:val="52"/>
        </w:rPr>
      </w:pPr>
    </w:p>
    <w:p w14:paraId="21BB05B8">
      <w:pPr>
        <w:spacing w:line="360" w:lineRule="auto"/>
        <w:ind w:left="783" w:hanging="783" w:hangingChars="15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14:paraId="3C145C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《四川省乡城县措岗崩雄铜多金属矿普查实施方案》评审意见书</w:t>
      </w:r>
    </w:p>
    <w:p w14:paraId="4235E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川矿评勘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 w14:paraId="153562B2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314ED496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4C8A8633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68A2CCE6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1DF2F659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1C411619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53224AEE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2BC66794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74D500AB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1C6480BF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30E19AB5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177CEF1A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12BA20FD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4143C275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104673D1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14:paraId="6BC61A43">
      <w:pPr>
        <w:pStyle w:val="2"/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四川省矿产资源储量评审中心</w:t>
      </w:r>
    </w:p>
    <w:p w14:paraId="1E0B2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FF0000"/>
          <w:w w:val="99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b w:val="0"/>
          <w:bCs w:val="0"/>
          <w:w w:val="99"/>
          <w:sz w:val="32"/>
          <w:szCs w:val="32"/>
          <w:lang w:val="en-US" w:eastAsia="zh-CN"/>
        </w:rPr>
        <w:t>日</w:t>
      </w:r>
    </w:p>
    <w:p w14:paraId="6595EDAE">
      <w:pPr>
        <w:rPr>
          <w:rFonts w:ascii="Times New Roman" w:hAnsi="Times New Roman" w:eastAsia="仿宋_GB2312" w:cs="Times New Roman"/>
          <w:b/>
          <w:szCs w:val="21"/>
        </w:rPr>
      </w:pPr>
      <w:r>
        <w:rPr>
          <w:rFonts w:ascii="Times New Roman" w:hAnsi="Times New Roman" w:eastAsia="仿宋_GB2312" w:cs="Times New Roman"/>
          <w:b/>
          <w:szCs w:val="21"/>
        </w:rPr>
        <w:br w:type="page"/>
      </w:r>
    </w:p>
    <w:tbl>
      <w:tblPr>
        <w:tblStyle w:val="11"/>
        <w:tblpPr w:leftFromText="180" w:rightFromText="180" w:vertAnchor="page" w:horzAnchor="page" w:tblpXSpec="center" w:tblpY="1716"/>
        <w:tblW w:w="85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83"/>
        <w:gridCol w:w="335"/>
        <w:gridCol w:w="1272"/>
        <w:gridCol w:w="1362"/>
        <w:gridCol w:w="340"/>
        <w:gridCol w:w="1188"/>
        <w:gridCol w:w="1147"/>
        <w:gridCol w:w="527"/>
      </w:tblGrid>
      <w:tr w14:paraId="64AB3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55D1F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申请单位</w:t>
            </w:r>
          </w:p>
        </w:tc>
        <w:tc>
          <w:tcPr>
            <w:tcW w:w="335" w:type="dxa"/>
            <w:vAlign w:val="center"/>
          </w:tcPr>
          <w:p w14:paraId="067C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5836" w:type="dxa"/>
            <w:gridSpan w:val="6"/>
            <w:vAlign w:val="center"/>
          </w:tcPr>
          <w:p w14:paraId="18388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重庆市静一房地产开发有限公司</w:t>
            </w:r>
          </w:p>
        </w:tc>
      </w:tr>
      <w:tr w14:paraId="11731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  <w:jc w:val="center"/>
        </w:trPr>
        <w:tc>
          <w:tcPr>
            <w:tcW w:w="2384" w:type="dxa"/>
            <w:gridSpan w:val="2"/>
            <w:vAlign w:val="center"/>
          </w:tcPr>
          <w:p w14:paraId="4590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编制单位</w:t>
            </w:r>
          </w:p>
        </w:tc>
        <w:tc>
          <w:tcPr>
            <w:tcW w:w="335" w:type="dxa"/>
            <w:vAlign w:val="center"/>
          </w:tcPr>
          <w:p w14:paraId="239A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5836" w:type="dxa"/>
            <w:gridSpan w:val="6"/>
            <w:vAlign w:val="center"/>
          </w:tcPr>
          <w:p w14:paraId="68766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四川楷大博越环境工程有限公司</w:t>
            </w:r>
          </w:p>
        </w:tc>
      </w:tr>
      <w:tr w14:paraId="7E1AE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74828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方案主编人员</w:t>
            </w:r>
          </w:p>
        </w:tc>
        <w:tc>
          <w:tcPr>
            <w:tcW w:w="335" w:type="dxa"/>
            <w:vAlign w:val="center"/>
          </w:tcPr>
          <w:p w14:paraId="4F606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1272" w:type="dxa"/>
            <w:vAlign w:val="center"/>
          </w:tcPr>
          <w:p w14:paraId="5AD5E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唐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勇</w:t>
            </w:r>
          </w:p>
        </w:tc>
        <w:tc>
          <w:tcPr>
            <w:tcW w:w="1362" w:type="dxa"/>
            <w:vAlign w:val="center"/>
          </w:tcPr>
          <w:p w14:paraId="4F7FF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龙  霞</w:t>
            </w:r>
          </w:p>
        </w:tc>
        <w:tc>
          <w:tcPr>
            <w:tcW w:w="1528" w:type="dxa"/>
            <w:gridSpan w:val="2"/>
            <w:vAlign w:val="center"/>
          </w:tcPr>
          <w:p w14:paraId="71FE9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2D07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14:paraId="58CD2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CEB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1422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35" w:type="dxa"/>
            <w:vAlign w:val="center"/>
          </w:tcPr>
          <w:p w14:paraId="3172B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1339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 w14:paraId="2C5F5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FA16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1F11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14:paraId="1EA8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017C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434A0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35" w:type="dxa"/>
            <w:vAlign w:val="center"/>
          </w:tcPr>
          <w:p w14:paraId="31445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7357E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 w14:paraId="35CC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7C82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026EA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14:paraId="6209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E3F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438C7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35" w:type="dxa"/>
            <w:vAlign w:val="center"/>
          </w:tcPr>
          <w:p w14:paraId="7960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 w14:paraId="7DAC2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2" w:type="dxa"/>
            <w:vAlign w:val="center"/>
          </w:tcPr>
          <w:p w14:paraId="21A9E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8C8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47" w:type="dxa"/>
            <w:vAlign w:val="center"/>
          </w:tcPr>
          <w:p w14:paraId="1F657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27" w:type="dxa"/>
            <w:vAlign w:val="center"/>
          </w:tcPr>
          <w:p w14:paraId="1AEA4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3D2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1DC7A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评审专家组</w:t>
            </w:r>
          </w:p>
        </w:tc>
        <w:tc>
          <w:tcPr>
            <w:tcW w:w="3309" w:type="dxa"/>
            <w:gridSpan w:val="4"/>
            <w:vAlign w:val="center"/>
          </w:tcPr>
          <w:p w14:paraId="65801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862" w:type="dxa"/>
            <w:gridSpan w:val="3"/>
            <w:vAlign w:val="center"/>
          </w:tcPr>
          <w:p w14:paraId="14C04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2FFB5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401" w:type="dxa"/>
            <w:vAlign w:val="center"/>
          </w:tcPr>
          <w:p w14:paraId="476AC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FF24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组长</w:t>
            </w:r>
          </w:p>
        </w:tc>
        <w:tc>
          <w:tcPr>
            <w:tcW w:w="335" w:type="dxa"/>
            <w:vAlign w:val="center"/>
          </w:tcPr>
          <w:p w14:paraId="5383D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5836" w:type="dxa"/>
            <w:gridSpan w:val="6"/>
            <w:vAlign w:val="center"/>
          </w:tcPr>
          <w:p w14:paraId="6723A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胡夕鹏</w:t>
            </w:r>
          </w:p>
        </w:tc>
      </w:tr>
      <w:tr w14:paraId="4DAF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401" w:type="dxa"/>
            <w:vAlign w:val="center"/>
          </w:tcPr>
          <w:p w14:paraId="27C8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1A1B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成员</w:t>
            </w:r>
          </w:p>
        </w:tc>
        <w:tc>
          <w:tcPr>
            <w:tcW w:w="335" w:type="dxa"/>
            <w:vAlign w:val="center"/>
          </w:tcPr>
          <w:p w14:paraId="0C62C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5836" w:type="dxa"/>
            <w:gridSpan w:val="6"/>
            <w:vAlign w:val="center"/>
          </w:tcPr>
          <w:p w14:paraId="42F2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勾永东   张庆松</w:t>
            </w:r>
          </w:p>
        </w:tc>
      </w:tr>
      <w:tr w14:paraId="3EC6A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401" w:type="dxa"/>
            <w:vAlign w:val="center"/>
          </w:tcPr>
          <w:p w14:paraId="4649D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75E5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35" w:type="dxa"/>
            <w:vAlign w:val="center"/>
          </w:tcPr>
          <w:p w14:paraId="09A19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5836" w:type="dxa"/>
            <w:gridSpan w:val="6"/>
            <w:vAlign w:val="center"/>
          </w:tcPr>
          <w:p w14:paraId="7FDAF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26F16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  <w:jc w:val="center"/>
        </w:trPr>
        <w:tc>
          <w:tcPr>
            <w:tcW w:w="1401" w:type="dxa"/>
            <w:vAlign w:val="center"/>
          </w:tcPr>
          <w:p w14:paraId="333D0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2DF8E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35" w:type="dxa"/>
            <w:vAlign w:val="center"/>
          </w:tcPr>
          <w:p w14:paraId="65B3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5836" w:type="dxa"/>
            <w:gridSpan w:val="6"/>
            <w:vAlign w:val="center"/>
          </w:tcPr>
          <w:p w14:paraId="563CE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038C3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1401" w:type="dxa"/>
            <w:vAlign w:val="center"/>
          </w:tcPr>
          <w:p w14:paraId="651C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983" w:type="dxa"/>
            <w:vAlign w:val="center"/>
          </w:tcPr>
          <w:p w14:paraId="5F978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35" w:type="dxa"/>
            <w:vAlign w:val="center"/>
          </w:tcPr>
          <w:p w14:paraId="0932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5836" w:type="dxa"/>
            <w:gridSpan w:val="6"/>
            <w:vAlign w:val="center"/>
          </w:tcPr>
          <w:p w14:paraId="3B5FB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 w14:paraId="75CFA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1AB6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评审方式</w:t>
            </w:r>
          </w:p>
        </w:tc>
        <w:tc>
          <w:tcPr>
            <w:tcW w:w="335" w:type="dxa"/>
            <w:vAlign w:val="center"/>
          </w:tcPr>
          <w:p w14:paraId="5E40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:</w:t>
            </w:r>
          </w:p>
        </w:tc>
        <w:tc>
          <w:tcPr>
            <w:tcW w:w="5836" w:type="dxa"/>
            <w:gridSpan w:val="6"/>
            <w:vAlign w:val="center"/>
          </w:tcPr>
          <w:p w14:paraId="0873E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会  审</w:t>
            </w:r>
          </w:p>
        </w:tc>
      </w:tr>
      <w:tr w14:paraId="3AB41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36ACB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评审时间</w:t>
            </w:r>
          </w:p>
        </w:tc>
        <w:tc>
          <w:tcPr>
            <w:tcW w:w="335" w:type="dxa"/>
            <w:vAlign w:val="center"/>
          </w:tcPr>
          <w:p w14:paraId="5A709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5836" w:type="dxa"/>
            <w:gridSpan w:val="6"/>
            <w:vAlign w:val="center"/>
          </w:tcPr>
          <w:p w14:paraId="45B0B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2024年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napToGrid w:val="0"/>
                <w:sz w:val="32"/>
                <w:szCs w:val="32"/>
              </w:rPr>
              <w:t>日</w:t>
            </w:r>
          </w:p>
        </w:tc>
      </w:tr>
      <w:tr w14:paraId="66AC5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2369A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distribute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评审会议地点</w:t>
            </w:r>
          </w:p>
        </w:tc>
        <w:tc>
          <w:tcPr>
            <w:tcW w:w="335" w:type="dxa"/>
            <w:vAlign w:val="center"/>
          </w:tcPr>
          <w:p w14:paraId="179DB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：</w:t>
            </w:r>
          </w:p>
        </w:tc>
        <w:tc>
          <w:tcPr>
            <w:tcW w:w="5836" w:type="dxa"/>
            <w:gridSpan w:val="6"/>
            <w:vAlign w:val="center"/>
          </w:tcPr>
          <w:p w14:paraId="3955A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  <w:lang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成都市</w:t>
            </w:r>
          </w:p>
        </w:tc>
      </w:tr>
      <w:tr w14:paraId="33B9F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2384" w:type="dxa"/>
            <w:gridSpan w:val="2"/>
            <w:vAlign w:val="center"/>
          </w:tcPr>
          <w:p w14:paraId="39252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335" w:type="dxa"/>
            <w:vAlign w:val="center"/>
          </w:tcPr>
          <w:p w14:paraId="2EB7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5836" w:type="dxa"/>
            <w:gridSpan w:val="6"/>
            <w:vAlign w:val="center"/>
          </w:tcPr>
          <w:p w14:paraId="18E4D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</w:tbl>
    <w:p w14:paraId="2D8B007B">
      <w:pPr>
        <w:rPr>
          <w:rFonts w:hint="eastAsia"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br w:type="page"/>
      </w:r>
    </w:p>
    <w:p w14:paraId="7F890892">
      <w:pPr>
        <w:widowControl/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32"/>
          <w:szCs w:val="32"/>
        </w:rPr>
        <w:t>项目概况简表</w:t>
      </w:r>
    </w:p>
    <w:tbl>
      <w:tblPr>
        <w:tblStyle w:val="12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06"/>
        <w:gridCol w:w="2276"/>
        <w:gridCol w:w="2747"/>
      </w:tblGrid>
      <w:tr w14:paraId="4811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2" w:type="dxa"/>
            <w:vAlign w:val="center"/>
          </w:tcPr>
          <w:p w14:paraId="0375CC50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14:paraId="0F051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beforeLines="30" w:after="93" w:afterLines="30"/>
              <w:ind w:firstLine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四川省乡城县措岗崩雄铜多金属矿普查实施方案</w:t>
            </w:r>
          </w:p>
        </w:tc>
      </w:tr>
      <w:tr w14:paraId="7D03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2" w:type="dxa"/>
            <w:vAlign w:val="center"/>
          </w:tcPr>
          <w:p w14:paraId="6C370A04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申请单位</w:t>
            </w:r>
          </w:p>
        </w:tc>
        <w:tc>
          <w:tcPr>
            <w:tcW w:w="7229" w:type="dxa"/>
            <w:gridSpan w:val="3"/>
            <w:vAlign w:val="center"/>
          </w:tcPr>
          <w:p w14:paraId="41FEA8E8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重庆市静一房地产开发有限公司</w:t>
            </w:r>
          </w:p>
        </w:tc>
      </w:tr>
      <w:tr w14:paraId="2B698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02" w:type="dxa"/>
            <w:vAlign w:val="center"/>
          </w:tcPr>
          <w:p w14:paraId="1E99F60E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勘查单位</w:t>
            </w:r>
          </w:p>
        </w:tc>
        <w:tc>
          <w:tcPr>
            <w:tcW w:w="7229" w:type="dxa"/>
            <w:gridSpan w:val="3"/>
            <w:vAlign w:val="center"/>
          </w:tcPr>
          <w:p w14:paraId="729DB5FA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四川楷大博越环境工程有限公司</w:t>
            </w:r>
          </w:p>
        </w:tc>
      </w:tr>
      <w:tr w14:paraId="442C8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2" w:type="dxa"/>
            <w:vAlign w:val="center"/>
          </w:tcPr>
          <w:p w14:paraId="02236A83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项目所在省市</w:t>
            </w:r>
          </w:p>
        </w:tc>
        <w:tc>
          <w:tcPr>
            <w:tcW w:w="2206" w:type="dxa"/>
            <w:vAlign w:val="center"/>
          </w:tcPr>
          <w:p w14:paraId="486FC965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四川省甘孜州</w:t>
            </w:r>
          </w:p>
        </w:tc>
        <w:tc>
          <w:tcPr>
            <w:tcW w:w="2276" w:type="dxa"/>
            <w:vAlign w:val="center"/>
          </w:tcPr>
          <w:p w14:paraId="635C57DF">
            <w:pPr>
              <w:spacing w:before="93" w:beforeLines="30" w:after="93" w:afterLines="30"/>
              <w:ind w:firstLine="461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申请类型</w:t>
            </w:r>
          </w:p>
        </w:tc>
        <w:tc>
          <w:tcPr>
            <w:tcW w:w="2747" w:type="dxa"/>
            <w:vAlign w:val="center"/>
          </w:tcPr>
          <w:p w14:paraId="0930D627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探矿权延续</w:t>
            </w:r>
          </w:p>
        </w:tc>
      </w:tr>
      <w:tr w14:paraId="4811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02" w:type="dxa"/>
            <w:vAlign w:val="center"/>
          </w:tcPr>
          <w:p w14:paraId="77BA6CDE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勘查矿种</w:t>
            </w:r>
          </w:p>
        </w:tc>
        <w:tc>
          <w:tcPr>
            <w:tcW w:w="2206" w:type="dxa"/>
            <w:vAlign w:val="center"/>
          </w:tcPr>
          <w:p w14:paraId="67C305A6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铜多金属矿</w:t>
            </w:r>
          </w:p>
        </w:tc>
        <w:tc>
          <w:tcPr>
            <w:tcW w:w="2276" w:type="dxa"/>
            <w:vAlign w:val="center"/>
          </w:tcPr>
          <w:p w14:paraId="25FC48AD">
            <w:pPr>
              <w:spacing w:before="93" w:beforeLines="30" w:after="93" w:afterLines="30"/>
              <w:ind w:firstLine="461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勘查面积</w:t>
            </w:r>
          </w:p>
        </w:tc>
        <w:tc>
          <w:tcPr>
            <w:tcW w:w="2747" w:type="dxa"/>
            <w:vAlign w:val="center"/>
          </w:tcPr>
          <w:p w14:paraId="1E557C75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2.5450km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</w:rPr>
              <w:t>2</w:t>
            </w:r>
          </w:p>
        </w:tc>
      </w:tr>
      <w:tr w14:paraId="7173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2" w:type="dxa"/>
            <w:vAlign w:val="center"/>
          </w:tcPr>
          <w:p w14:paraId="0A3BEE17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勘查阶段</w:t>
            </w:r>
          </w:p>
        </w:tc>
        <w:tc>
          <w:tcPr>
            <w:tcW w:w="2206" w:type="dxa"/>
            <w:vAlign w:val="center"/>
          </w:tcPr>
          <w:p w14:paraId="1912F00A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普查</w:t>
            </w:r>
          </w:p>
        </w:tc>
        <w:tc>
          <w:tcPr>
            <w:tcW w:w="2276" w:type="dxa"/>
            <w:vAlign w:val="center"/>
          </w:tcPr>
          <w:p w14:paraId="186292E5">
            <w:pPr>
              <w:spacing w:before="93" w:beforeLines="30" w:after="93" w:afterLines="3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预算经费（万元）</w:t>
            </w:r>
          </w:p>
        </w:tc>
        <w:tc>
          <w:tcPr>
            <w:tcW w:w="2747" w:type="dxa"/>
            <w:vAlign w:val="center"/>
          </w:tcPr>
          <w:p w14:paraId="04FA21D0">
            <w:pPr>
              <w:spacing w:before="93" w:beforeLines="30" w:after="93" w:afterLines="30"/>
              <w:ind w:firstLine="461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276.12</w:t>
            </w:r>
          </w:p>
        </w:tc>
      </w:tr>
      <w:tr w14:paraId="17357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702" w:type="dxa"/>
            <w:vAlign w:val="center"/>
          </w:tcPr>
          <w:p w14:paraId="6B0EE116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勘查范围</w:t>
            </w:r>
          </w:p>
          <w:p w14:paraId="5FFF496F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拐点坐标</w:t>
            </w:r>
          </w:p>
        </w:tc>
        <w:tc>
          <w:tcPr>
            <w:tcW w:w="7229" w:type="dxa"/>
            <w:gridSpan w:val="3"/>
            <w:vAlign w:val="center"/>
          </w:tcPr>
          <w:tbl>
            <w:tblPr>
              <w:tblStyle w:val="11"/>
              <w:tblW w:w="696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5"/>
              <w:gridCol w:w="2988"/>
              <w:gridCol w:w="2847"/>
            </w:tblGrid>
            <w:tr w14:paraId="739B7B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exact"/>
              </w:trPr>
              <w:tc>
                <w:tcPr>
                  <w:tcW w:w="1125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12BB77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拐点号</w:t>
                  </w:r>
                </w:p>
              </w:tc>
              <w:tc>
                <w:tcPr>
                  <w:tcW w:w="5835" w:type="dxa"/>
                  <w:gridSpan w:val="2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1CF8C3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2000</w:t>
                  </w:r>
                  <w:r>
                    <w:rPr>
                      <w:rStyle w:val="20"/>
                      <w:rFonts w:hint="default" w:ascii="Times New Roman" w:hAnsi="Times New Roman" w:eastAsia="仿宋_GB2312" w:cs="Times New Roman"/>
                      <w:color w:val="auto"/>
                      <w:sz w:val="21"/>
                      <w:szCs w:val="21"/>
                      <w:lang w:val="en-US" w:eastAsia="zh-CN" w:bidi="ar"/>
                    </w:rPr>
                    <w:t>国家大地坐标系</w:t>
                  </w:r>
                </w:p>
              </w:tc>
            </w:tr>
            <w:tr w14:paraId="18CC62A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exact"/>
              </w:trPr>
              <w:tc>
                <w:tcPr>
                  <w:tcW w:w="1125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48A285F6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29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3E0F7C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东经</w:t>
                  </w:r>
                </w:p>
              </w:tc>
              <w:tc>
                <w:tcPr>
                  <w:tcW w:w="28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4C1CC0ED">
                  <w:pPr>
                    <w:keepNext w:val="0"/>
                    <w:keepLines w:val="0"/>
                    <w:widowControl/>
                    <w:suppressLineNumbers w:val="0"/>
                    <w:ind w:firstLineChars="100"/>
                    <w:jc w:val="center"/>
                    <w:textAlignment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北纬</w:t>
                  </w:r>
                </w:p>
              </w:tc>
            </w:tr>
            <w:tr w14:paraId="039277D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exact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0653C7E6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078C9851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1"/>
                      <w:szCs w:val="21"/>
                    </w:rPr>
                    <w:t>99°52′56.950″</w:t>
                  </w:r>
                </w:p>
              </w:tc>
              <w:tc>
                <w:tcPr>
                  <w:tcW w:w="28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57298EAD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1"/>
                      <w:szCs w:val="21"/>
                    </w:rPr>
                    <w:t>28°50′08.845″</w:t>
                  </w:r>
                </w:p>
              </w:tc>
            </w:tr>
            <w:tr w14:paraId="4188A94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exact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24B7A889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0435194D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1"/>
                      <w:szCs w:val="21"/>
                    </w:rPr>
                    <w:t>99°54′06.580″</w:t>
                  </w:r>
                </w:p>
              </w:tc>
              <w:tc>
                <w:tcPr>
                  <w:tcW w:w="28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09B5DAD1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auto"/>
                      <w:sz w:val="21"/>
                      <w:szCs w:val="21"/>
                    </w:rPr>
                    <w:t>28°50′08.845″</w:t>
                  </w:r>
                </w:p>
              </w:tc>
            </w:tr>
            <w:tr w14:paraId="5B9B9F4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exact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2B27277A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790DFF5B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</w:rPr>
                    <w:t>99°54′06.575″</w:t>
                  </w:r>
                </w:p>
              </w:tc>
              <w:tc>
                <w:tcPr>
                  <w:tcW w:w="28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7F7D202C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</w:rPr>
                    <w:t>28°49′24.832″</w:t>
                  </w:r>
                </w:p>
              </w:tc>
            </w:tr>
            <w:tr w14:paraId="5F91C4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2" w:hRule="exact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6CA98ACE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8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1DAE6C8D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</w:rPr>
                    <w:t>99°52′56.947″</w:t>
                  </w:r>
                </w:p>
              </w:tc>
              <w:tc>
                <w:tcPr>
                  <w:tcW w:w="284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tcMar>
                    <w:top w:w="0" w:type="dxa"/>
                    <w:left w:w="17" w:type="dxa"/>
                    <w:right w:w="17" w:type="dxa"/>
                  </w:tcMar>
                  <w:vAlign w:val="center"/>
                </w:tcPr>
                <w:p w14:paraId="3439CBD0">
                  <w:pPr>
                    <w:jc w:val="center"/>
                    <w:rPr>
                      <w:rFonts w:hint="default" w:ascii="Times New Roman" w:hAnsi="Times New Roman" w:eastAsia="仿宋_GB2312" w:cs="Times New Roman"/>
                      <w:i w:val="0"/>
                      <w:color w:val="FF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color w:val="000000"/>
                      <w:sz w:val="21"/>
                      <w:szCs w:val="21"/>
                    </w:rPr>
                    <w:t>28°49′25.291″</w:t>
                  </w:r>
                </w:p>
              </w:tc>
            </w:tr>
          </w:tbl>
          <w:p w14:paraId="0AA96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C804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702" w:type="dxa"/>
            <w:vAlign w:val="center"/>
          </w:tcPr>
          <w:p w14:paraId="77A21C58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目的任务</w:t>
            </w:r>
          </w:p>
        </w:tc>
        <w:tc>
          <w:tcPr>
            <w:tcW w:w="7229" w:type="dxa"/>
            <w:gridSpan w:val="3"/>
            <w:vAlign w:val="center"/>
          </w:tcPr>
          <w:p w14:paraId="2FC5644D">
            <w:pPr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全面收集综合研究勘查区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已有的地、物、化、遥及典型矿床等资料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，通过地质测量、土壤剖面测量、激电中梯测量对前期圈定的异常进行查证，</w:t>
            </w:r>
            <w:r>
              <w:rPr>
                <w:rFonts w:hint="eastAsia" w:ascii="仿宋_GB2312" w:eastAsia="仿宋_GB2312"/>
                <w:sz w:val="24"/>
              </w:rPr>
              <w:t>根据地质测量、物化探成果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对发现的矿（化）体布设槽探进行追索。根据前期成果，在深部采用钻探进行稀疏控制，结合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分析测试工作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初步查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明勘查区成矿地质条件和矿体地质特征，估算推断资源量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，评价区内是否有进一步勘查工作价值，择机圈定详查范围。</w:t>
            </w:r>
          </w:p>
        </w:tc>
      </w:tr>
      <w:tr w14:paraId="3490C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702" w:type="dxa"/>
            <w:vAlign w:val="center"/>
          </w:tcPr>
          <w:p w14:paraId="2F535B27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技术方法</w:t>
            </w:r>
          </w:p>
        </w:tc>
        <w:tc>
          <w:tcPr>
            <w:tcW w:w="7229" w:type="dxa"/>
            <w:gridSpan w:val="3"/>
            <w:vAlign w:val="center"/>
          </w:tcPr>
          <w:p w14:paraId="70A144EE">
            <w:pPr>
              <w:pStyle w:val="18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采用地质测量、物化探测量、槽探</w:t>
            </w:r>
            <w:r>
              <w:rPr>
                <w:rFonts w:hint="eastAsia" w:ascii="Times New Roman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</w:rPr>
              <w:t>钻探、采样测试等技术方法手段，圈定物化探异常</w:t>
            </w:r>
            <w:r>
              <w:rPr>
                <w:rFonts w:hint="eastAsia" w:ascii="Times New Roman" w:cs="Times New Roman"/>
                <w:lang w:eastAsia="zh-CN"/>
              </w:rPr>
              <w:t>并</w:t>
            </w:r>
            <w:r>
              <w:rPr>
                <w:rFonts w:hint="default" w:ascii="Times New Roman" w:hAnsi="Times New Roman" w:eastAsia="仿宋_GB2312" w:cs="Times New Roman"/>
              </w:rPr>
              <w:t>进行查证，</w:t>
            </w:r>
            <w:r>
              <w:rPr>
                <w:rFonts w:hint="eastAsia" w:ascii="Times New Roman" w:cs="Times New Roman"/>
                <w:lang w:eastAsia="zh-CN"/>
              </w:rPr>
              <w:t>以期</w:t>
            </w:r>
            <w:r>
              <w:rPr>
                <w:rFonts w:hint="default" w:ascii="Times New Roman" w:hAnsi="Times New Roman" w:eastAsia="仿宋_GB2312" w:cs="Times New Roman"/>
              </w:rPr>
              <w:t>发现、圈定矿（化）体，并对其进行稀疏</w:t>
            </w:r>
            <w:r>
              <w:rPr>
                <w:rFonts w:hint="eastAsia" w:ascii="Times New Roman" w:cs="Times New Roman"/>
                <w:lang w:eastAsia="zh-CN"/>
              </w:rPr>
              <w:t>工程</w:t>
            </w:r>
            <w:r>
              <w:rPr>
                <w:rFonts w:hint="default" w:ascii="Times New Roman" w:hAnsi="Times New Roman" w:eastAsia="仿宋_GB2312" w:cs="Times New Roman"/>
              </w:rPr>
              <w:t>控制，初步查明矿（化）体特征、矿石质量及矿石类型。</w:t>
            </w:r>
          </w:p>
        </w:tc>
      </w:tr>
      <w:tr w14:paraId="5439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02" w:type="dxa"/>
            <w:vAlign w:val="center"/>
          </w:tcPr>
          <w:p w14:paraId="1E6C2EA4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主要实物</w:t>
            </w:r>
          </w:p>
          <w:p w14:paraId="57476CFA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工作量</w:t>
            </w:r>
          </w:p>
        </w:tc>
        <w:tc>
          <w:tcPr>
            <w:tcW w:w="7229" w:type="dxa"/>
            <w:gridSpan w:val="3"/>
            <w:vAlign w:val="center"/>
          </w:tcPr>
          <w:p w14:paraId="1F9C8C2C">
            <w:pPr>
              <w:spacing w:before="93" w:beforeLines="30" w:after="93" w:afterLines="3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1:5000地质测量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（草测）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2.545</w:t>
            </w:r>
            <w:r>
              <w:rPr>
                <w:rFonts w:hint="default" w:ascii="Times New Roman" w:hAnsi="Times New Roman" w:eastAsia="仿宋_GB2312" w:cs="Times New Roman"/>
                <w:sz w:val="24"/>
                <w:lang w:val="zh-CN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sz w:val="24"/>
                <w:vertAlign w:val="superscript"/>
                <w:lang w:val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，1:2000地质剖面测量2km，土壤剖面测量2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km，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激电中梯测量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1.24km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，激电中梯度剖面测量1.5km，槽探1100m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，钻探800m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，以及岩矿分析测试等工作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。</w:t>
            </w:r>
          </w:p>
        </w:tc>
      </w:tr>
      <w:tr w14:paraId="4ACB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2" w:type="dxa"/>
            <w:vAlign w:val="center"/>
          </w:tcPr>
          <w:p w14:paraId="61E253E7">
            <w:pPr>
              <w:spacing w:before="93" w:beforeLines="30" w:after="93" w:afterLines="3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预期成果</w:t>
            </w:r>
          </w:p>
        </w:tc>
        <w:tc>
          <w:tcPr>
            <w:tcW w:w="7229" w:type="dxa"/>
            <w:gridSpan w:val="3"/>
            <w:vAlign w:val="center"/>
          </w:tcPr>
          <w:p w14:paraId="5E694CD8">
            <w:pPr>
              <w:spacing w:before="93" w:beforeLines="30" w:after="93" w:afterLines="30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提交《四川省乡城县措岗崩雄铜多金属矿普查报告》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4"/>
              </w:rPr>
              <w:t>。</w:t>
            </w:r>
          </w:p>
        </w:tc>
      </w:tr>
    </w:tbl>
    <w:p w14:paraId="7D22DE1C">
      <w:pPr>
        <w:pStyle w:val="1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C877E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为办理探矿权延续，重庆市静一房地产开发有限公司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委托</w:t>
      </w:r>
      <w:r>
        <w:rPr>
          <w:rFonts w:hint="eastAsia" w:ascii="仿宋_GB2312" w:hAnsi="仿宋_GB2312" w:eastAsia="仿宋_GB2312" w:cs="仿宋_GB2312"/>
          <w:sz w:val="30"/>
          <w:szCs w:val="30"/>
        </w:rPr>
        <w:t>四川楷大博越环境工程有限公司编制了《四川省乡城县措岗崩雄铜多金属矿普查实施方案》（以下简称《方案》），四川省矿产资源储量评审中心组织专家对该《方案》进行了审查，编制单位按照专家意见对《方案》进行了修改完善，经专家组复核，形成评审意见如下。</w:t>
      </w:r>
    </w:p>
    <w:p w14:paraId="7FF0A46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bookmarkStart w:id="0" w:name="_Toc32566"/>
      <w:bookmarkStart w:id="1" w:name="_Toc211"/>
      <w:r>
        <w:rPr>
          <w:rFonts w:hint="eastAsia" w:ascii="黑体" w:hAnsi="黑体" w:eastAsia="黑体" w:cs="黑体"/>
          <w:sz w:val="30"/>
          <w:szCs w:val="30"/>
        </w:rPr>
        <w:t>位置、交通</w:t>
      </w:r>
      <w:bookmarkEnd w:id="0"/>
      <w:bookmarkEnd w:id="1"/>
    </w:p>
    <w:p w14:paraId="371773D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勘查区位于乡城县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150°方位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直距约14km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青麦乡。从乡城县经省道S217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青麦乡政府约11km，沿县级公路行驶约7km至仁堆村，在村北东方向的央则昂乙沟内沿着乡村道路行驶约3km可达勘查区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交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通较方便。</w:t>
      </w:r>
    </w:p>
    <w:p w14:paraId="27F53D56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二、项目概况</w:t>
      </w:r>
    </w:p>
    <w:p w14:paraId="0C6DF989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四川省乡城县措岗崩雄铜多金属矿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探矿权人为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重庆市静一房地产开发有限公司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，现持勘查许可证由四川省自然资源厅颁发，证号T5100002009073010031520，有效期限自</w:t>
      </w:r>
      <w:r>
        <w:rPr>
          <w:rFonts w:hint="default" w:ascii="Times New Roman" w:hAnsi="Times New Roman" w:eastAsia="仿宋_GB2312" w:cs="Times New Roman"/>
          <w:snapToGrid w:val="0"/>
          <w:color w:val="000000"/>
          <w:szCs w:val="21"/>
        </w:rPr>
        <w:t>2019</w:t>
      </w:r>
      <w:r>
        <w:rPr>
          <w:rFonts w:hint="default" w:ascii="Times New Roman" w:hAnsi="Times New Roman" w:eastAsia="仿宋_GB2312" w:cs="Times New Roman"/>
          <w:snapToGrid w:val="0"/>
          <w:color w:val="000000"/>
          <w:szCs w:val="21"/>
          <w:lang w:eastAsia="zh-CN"/>
        </w:rPr>
        <w:t>年</w:t>
      </w:r>
      <w:r>
        <w:rPr>
          <w:rFonts w:hint="default" w:ascii="Times New Roman" w:hAnsi="Times New Roman" w:eastAsia="仿宋_GB2312" w:cs="Times New Roman"/>
          <w:snapToGrid w:val="0"/>
          <w:color w:val="000000"/>
          <w:szCs w:val="21"/>
        </w:rPr>
        <w:t>06</w:t>
      </w:r>
      <w:r>
        <w:rPr>
          <w:rFonts w:hint="default" w:ascii="Times New Roman" w:hAnsi="Times New Roman" w:eastAsia="仿宋_GB2312" w:cs="Times New Roman"/>
          <w:snapToGrid w:val="0"/>
          <w:color w:val="000000"/>
          <w:szCs w:val="21"/>
          <w:lang w:eastAsia="zh-CN"/>
        </w:rPr>
        <w:t>月</w:t>
      </w:r>
      <w:r>
        <w:rPr>
          <w:rFonts w:hint="default" w:ascii="Times New Roman" w:hAnsi="Times New Roman" w:eastAsia="仿宋_GB2312" w:cs="Times New Roman"/>
          <w:snapToGrid w:val="0"/>
          <w:color w:val="000000"/>
          <w:szCs w:val="21"/>
        </w:rPr>
        <w:t>30</w:t>
      </w:r>
      <w:r>
        <w:rPr>
          <w:rFonts w:hint="default" w:ascii="Times New Roman" w:hAnsi="Times New Roman" w:eastAsia="仿宋_GB2312" w:cs="Times New Roman"/>
          <w:snapToGrid w:val="0"/>
          <w:color w:val="000000"/>
          <w:szCs w:val="21"/>
          <w:lang w:eastAsia="zh-CN"/>
        </w:rPr>
        <w:t>日至</w:t>
      </w:r>
      <w:r>
        <w:rPr>
          <w:rFonts w:hint="default" w:ascii="Times New Roman" w:hAnsi="Times New Roman" w:eastAsia="仿宋_GB2312" w:cs="Times New Roman"/>
          <w:sz w:val="30"/>
          <w:szCs w:val="30"/>
        </w:rPr>
        <w:t>2024年6月30日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。探矿权范围由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4个拐点圈闭，面积</w:t>
      </w:r>
      <w:r>
        <w:rPr>
          <w:rFonts w:hint="default" w:ascii="Times New Roman" w:hAnsi="Times New Roman" w:eastAsia="仿宋_GB2312" w:cs="Times New Roman"/>
          <w:sz w:val="30"/>
          <w:szCs w:val="30"/>
        </w:rPr>
        <w:t>3.1932km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，拐点坐标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（2000国家大地坐标系）见下表。</w:t>
      </w:r>
    </w:p>
    <w:tbl>
      <w:tblPr>
        <w:tblStyle w:val="11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1838"/>
        <w:gridCol w:w="1508"/>
        <w:gridCol w:w="792"/>
        <w:gridCol w:w="1712"/>
        <w:gridCol w:w="1576"/>
      </w:tblGrid>
      <w:tr w14:paraId="49D57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6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1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C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A2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  <w:tc>
          <w:tcPr>
            <w:tcW w:w="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F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拐点号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A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东经</w:t>
            </w:r>
          </w:p>
        </w:tc>
        <w:tc>
          <w:tcPr>
            <w:tcW w:w="15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D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北纬</w:t>
            </w:r>
          </w:p>
        </w:tc>
      </w:tr>
      <w:tr w14:paraId="55B3D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7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2F0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99°52′55.000″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B4C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28°50′11.000″</w:t>
            </w:r>
          </w:p>
        </w:tc>
        <w:tc>
          <w:tcPr>
            <w:tcW w:w="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D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53E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99°54′10.000″</w:t>
            </w:r>
          </w:p>
        </w:tc>
        <w:tc>
          <w:tcPr>
            <w:tcW w:w="15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53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28°49′20.000″</w:t>
            </w:r>
          </w:p>
        </w:tc>
      </w:tr>
      <w:tr w14:paraId="7E60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73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5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3AC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99°54′10.000″</w:t>
            </w:r>
          </w:p>
        </w:tc>
        <w:tc>
          <w:tcPr>
            <w:tcW w:w="150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F32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28°50′11.000″</w:t>
            </w:r>
          </w:p>
        </w:tc>
        <w:tc>
          <w:tcPr>
            <w:tcW w:w="79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4D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99°52′55.000″</w:t>
            </w:r>
          </w:p>
        </w:tc>
        <w:tc>
          <w:tcPr>
            <w:tcW w:w="157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2DC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28°49′20.000″</w:t>
            </w:r>
          </w:p>
        </w:tc>
      </w:tr>
    </w:tbl>
    <w:p w14:paraId="3EB42DC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本次拟申请探矿权延续，按规定缩减面积后，探矿权范围由4个拐点圈闭，面积2.5450km</w:t>
      </w:r>
      <w:r>
        <w:rPr>
          <w:rFonts w:hint="default" w:ascii="Times New Roman" w:hAnsi="Times New Roman" w:eastAsia="仿宋_GB2312" w:cs="Times New Roman"/>
          <w:sz w:val="30"/>
          <w:szCs w:val="30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。拟申请延续的探矿权范围拐点坐标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（2000国家大地坐标系）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见下表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tbl>
      <w:tblPr>
        <w:tblStyle w:val="11"/>
        <w:tblW w:w="8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56"/>
        <w:gridCol w:w="1656"/>
        <w:gridCol w:w="816"/>
        <w:gridCol w:w="1700"/>
        <w:gridCol w:w="1552"/>
      </w:tblGrid>
      <w:tr w14:paraId="434CF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B83F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拐点号</w:t>
            </w:r>
          </w:p>
        </w:tc>
        <w:tc>
          <w:tcPr>
            <w:tcW w:w="16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511E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东经</w:t>
            </w:r>
          </w:p>
        </w:tc>
        <w:tc>
          <w:tcPr>
            <w:tcW w:w="16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B322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北纬</w:t>
            </w:r>
          </w:p>
        </w:tc>
        <w:tc>
          <w:tcPr>
            <w:tcW w:w="8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EB4B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拐点号</w:t>
            </w:r>
          </w:p>
        </w:tc>
        <w:tc>
          <w:tcPr>
            <w:tcW w:w="17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59545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东经</w:t>
            </w:r>
          </w:p>
        </w:tc>
        <w:tc>
          <w:tcPr>
            <w:tcW w:w="155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50BB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北纬</w:t>
            </w:r>
          </w:p>
        </w:tc>
      </w:tr>
      <w:tr w14:paraId="10C10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AFCBF2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6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B643D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99°52′56.950″</w:t>
            </w:r>
          </w:p>
        </w:tc>
        <w:tc>
          <w:tcPr>
            <w:tcW w:w="16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1818ECA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28°50′08.845″</w:t>
            </w:r>
          </w:p>
        </w:tc>
        <w:tc>
          <w:tcPr>
            <w:tcW w:w="8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711BE7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7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54ADF2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99°54′06.575″</w:t>
            </w:r>
          </w:p>
        </w:tc>
        <w:tc>
          <w:tcPr>
            <w:tcW w:w="155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4AAE01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28°49′24.832″</w:t>
            </w:r>
          </w:p>
        </w:tc>
      </w:tr>
      <w:tr w14:paraId="2AFB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7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08C71C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6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5DA21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99°54′06.580″</w:t>
            </w:r>
          </w:p>
        </w:tc>
        <w:tc>
          <w:tcPr>
            <w:tcW w:w="165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30125A0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28°50′08.845″</w:t>
            </w:r>
          </w:p>
        </w:tc>
        <w:tc>
          <w:tcPr>
            <w:tcW w:w="816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4950FB7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700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26E988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99°52′56.947″</w:t>
            </w:r>
          </w:p>
        </w:tc>
        <w:tc>
          <w:tcPr>
            <w:tcW w:w="1552" w:type="dxa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14:paraId="0BB3A09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28°49′25.291″</w:t>
            </w:r>
          </w:p>
        </w:tc>
      </w:tr>
    </w:tbl>
    <w:p w14:paraId="244B5D3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1977B04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三、审查意见</w:t>
      </w:r>
    </w:p>
    <w:p w14:paraId="03AE8DC3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1.《方案》收集了勘查区内已有区域地质和矿区地质成果，为本次普查设计提供了地质依据。</w:t>
      </w:r>
    </w:p>
    <w:p w14:paraId="33852F9F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2.按照“目标明确、投入适当，综合勘查、主次兼顾，整体部署、分步实施，因变施策，适时调整”的原则，利用1:5000地质测量、土壤剖面测量、激电中梯测量、激电中梯剖面测量和槽探、钻探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手段，采用循序渐进的工作程序，具有可操作性，技术路线和勘查手段合理。</w:t>
      </w:r>
    </w:p>
    <w:p w14:paraId="52577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8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3.普查工作分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个年度实施，其中第一年度为找矿评价阶段，在全区范围内开展1:5000地质测量，采用土壤剖面测量对前期1:10000异常进行查证，对查证后的异常范围开展激电中梯测量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进一步缩小找矿靶区，对异常浓度集中地段以稀疏的槽探进行控制和追索，根据第一个年度勘查成果，优化、调整《方案》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第二年度采用稀疏槽探、钻探工程对发现的矿（化）体、异常进行验证、控制，初步了解共生、伴生矿产的种类、含量、赋存特点，研究其综合利用的可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能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性。勘查工作总体部署、年度安排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设计主要实物工作量较为合理。</w:t>
      </w:r>
    </w:p>
    <w:p w14:paraId="1440894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4.</w:t>
      </w:r>
      <w:r>
        <w:rPr>
          <w:rFonts w:hint="default" w:ascii="Times New Roman" w:hAnsi="Times New Roman" w:eastAsia="仿宋_GB2312" w:cs="Times New Roman"/>
          <w:spacing w:val="0"/>
          <w:kern w:val="0"/>
          <w:sz w:val="30"/>
          <w:szCs w:val="30"/>
          <w:lang w:val="en-US" w:eastAsia="zh-CN" w:bidi="ar-SA"/>
        </w:rPr>
        <w:t>《方案》预算依据中国地质调查局《地质调查项目预算标准》（2021年）编制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，</w:t>
      </w:r>
      <w:r>
        <w:rPr>
          <w:rFonts w:hint="default" w:ascii="Times New Roman" w:hAnsi="Times New Roman" w:eastAsia="仿宋_GB2312" w:cs="Times New Roman"/>
          <w:spacing w:val="0"/>
          <w:kern w:val="0"/>
          <w:sz w:val="30"/>
          <w:szCs w:val="30"/>
          <w:lang w:val="en-US" w:eastAsia="zh-CN" w:bidi="ar-SA"/>
        </w:rPr>
        <w:t>预算工作量与设计相符，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符合项目所在地市场情况。</w:t>
      </w:r>
      <w:bookmarkStart w:id="2" w:name="_GoBack"/>
      <w:bookmarkEnd w:id="2"/>
    </w:p>
    <w:p w14:paraId="4BF8C45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5.项目组织管理机构健全，项目人员专业结构较合理，分工明确，质量与安全保障措施得当，绿色勘查措施具体可行。</w:t>
      </w:r>
    </w:p>
    <w:p w14:paraId="56460D2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四、存在问题与建议</w:t>
      </w:r>
    </w:p>
    <w:p w14:paraId="29284CA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项目实施过程中应强化资料整理和综合研究，根据异常及其它最新找矿线索，及时调整、优化工程设计，避免按方案机械、盲目施工。当地质情况发生较大变化时，及时进行设计变更。</w:t>
      </w:r>
    </w:p>
    <w:p w14:paraId="6F0380CC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五、结论</w:t>
      </w:r>
    </w:p>
    <w:p w14:paraId="4A5DF6CB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《方案》编制依据较充分，目标任务明确，勘查技术方法、勘查手段、工作部署总体合理，主要实物工作量可满足普查工作需要。同意通过审查。</w:t>
      </w:r>
    </w:p>
    <w:p w14:paraId="25E475A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D46ED71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附件:《四川省乡城县措岗崩雄铜多金属矿普查实施方案》评审专家组签名表</w:t>
      </w:r>
    </w:p>
    <w:p w14:paraId="3C516AD2">
      <w:pPr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</w:p>
    <w:p w14:paraId="07743251">
      <w:pPr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专家组长：</w:t>
      </w:r>
    </w:p>
    <w:p w14:paraId="5948B822">
      <w:pPr>
        <w:snapToGrid w:val="0"/>
        <w:spacing w:line="360" w:lineRule="auto"/>
        <w:ind w:firstLine="4800" w:firstLineChars="1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2024年7月</w:t>
      </w:r>
      <w:r>
        <w:rPr>
          <w:rFonts w:hint="eastAsia" w:ascii="Times New Roman" w:hAnsi="Times New Roman" w:eastAsia="仿宋_GB2312" w:cs="Times New Roman"/>
          <w:color w:val="FF0000"/>
          <w:sz w:val="30"/>
          <w:szCs w:val="30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p w14:paraId="2C4304BF">
      <w:pPr>
        <w:pStyle w:val="1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kYTU1MzQyYWIwODU5OWNiZjMwYThkY2Y2ZDVkNGQifQ=="/>
  </w:docVars>
  <w:rsids>
    <w:rsidRoot w:val="33630667"/>
    <w:rsid w:val="000113B5"/>
    <w:rsid w:val="000261C1"/>
    <w:rsid w:val="00050BB0"/>
    <w:rsid w:val="000A446E"/>
    <w:rsid w:val="000C19D8"/>
    <w:rsid w:val="000C3176"/>
    <w:rsid w:val="000F3AA2"/>
    <w:rsid w:val="000F70A4"/>
    <w:rsid w:val="00156020"/>
    <w:rsid w:val="00173097"/>
    <w:rsid w:val="00183ACD"/>
    <w:rsid w:val="001952B0"/>
    <w:rsid w:val="001C0523"/>
    <w:rsid w:val="001F6623"/>
    <w:rsid w:val="002048B0"/>
    <w:rsid w:val="002164D7"/>
    <w:rsid w:val="00243573"/>
    <w:rsid w:val="00270E88"/>
    <w:rsid w:val="00272E90"/>
    <w:rsid w:val="00297629"/>
    <w:rsid w:val="002D7ECD"/>
    <w:rsid w:val="002F2EAA"/>
    <w:rsid w:val="002F3DC5"/>
    <w:rsid w:val="00315EE5"/>
    <w:rsid w:val="0032294B"/>
    <w:rsid w:val="00340A7F"/>
    <w:rsid w:val="00350714"/>
    <w:rsid w:val="00360272"/>
    <w:rsid w:val="003B1563"/>
    <w:rsid w:val="00400020"/>
    <w:rsid w:val="004309FF"/>
    <w:rsid w:val="00454F18"/>
    <w:rsid w:val="004A4922"/>
    <w:rsid w:val="004B7E8C"/>
    <w:rsid w:val="004D051D"/>
    <w:rsid w:val="004D3617"/>
    <w:rsid w:val="004D3910"/>
    <w:rsid w:val="00553DFB"/>
    <w:rsid w:val="00557D76"/>
    <w:rsid w:val="005834CE"/>
    <w:rsid w:val="00592A17"/>
    <w:rsid w:val="005C49F6"/>
    <w:rsid w:val="005F52AD"/>
    <w:rsid w:val="00612BBD"/>
    <w:rsid w:val="006265E4"/>
    <w:rsid w:val="00630D7E"/>
    <w:rsid w:val="006367A2"/>
    <w:rsid w:val="006900D2"/>
    <w:rsid w:val="006B673B"/>
    <w:rsid w:val="00721D4D"/>
    <w:rsid w:val="00735E8A"/>
    <w:rsid w:val="00736475"/>
    <w:rsid w:val="00753C11"/>
    <w:rsid w:val="00760A50"/>
    <w:rsid w:val="00767D1A"/>
    <w:rsid w:val="007A20F3"/>
    <w:rsid w:val="007C20C2"/>
    <w:rsid w:val="0082651F"/>
    <w:rsid w:val="008454E7"/>
    <w:rsid w:val="00857CF8"/>
    <w:rsid w:val="008C4C36"/>
    <w:rsid w:val="008C6952"/>
    <w:rsid w:val="008E7030"/>
    <w:rsid w:val="008F4542"/>
    <w:rsid w:val="00907C55"/>
    <w:rsid w:val="00993864"/>
    <w:rsid w:val="00993D21"/>
    <w:rsid w:val="009A37DA"/>
    <w:rsid w:val="009F6C5D"/>
    <w:rsid w:val="00A252ED"/>
    <w:rsid w:val="00A64659"/>
    <w:rsid w:val="00A650CB"/>
    <w:rsid w:val="00AE557A"/>
    <w:rsid w:val="00B07B8B"/>
    <w:rsid w:val="00B22DEB"/>
    <w:rsid w:val="00B26F20"/>
    <w:rsid w:val="00B45A45"/>
    <w:rsid w:val="00BA52C9"/>
    <w:rsid w:val="00BE18AC"/>
    <w:rsid w:val="00BF76EE"/>
    <w:rsid w:val="00C05E5C"/>
    <w:rsid w:val="00C46365"/>
    <w:rsid w:val="00C47996"/>
    <w:rsid w:val="00C57417"/>
    <w:rsid w:val="00C9163B"/>
    <w:rsid w:val="00C95EE1"/>
    <w:rsid w:val="00CA68BE"/>
    <w:rsid w:val="00CF2DEF"/>
    <w:rsid w:val="00D02025"/>
    <w:rsid w:val="00D26979"/>
    <w:rsid w:val="00D40A61"/>
    <w:rsid w:val="00D514A1"/>
    <w:rsid w:val="00DF56A1"/>
    <w:rsid w:val="00E16D85"/>
    <w:rsid w:val="00E46DC3"/>
    <w:rsid w:val="00EB3317"/>
    <w:rsid w:val="00EC1379"/>
    <w:rsid w:val="00EC3B89"/>
    <w:rsid w:val="00F256CD"/>
    <w:rsid w:val="00F304D5"/>
    <w:rsid w:val="00F36000"/>
    <w:rsid w:val="00FA64D8"/>
    <w:rsid w:val="00FC00A5"/>
    <w:rsid w:val="00FC671D"/>
    <w:rsid w:val="00FD751C"/>
    <w:rsid w:val="00FE0F1B"/>
    <w:rsid w:val="02F45F08"/>
    <w:rsid w:val="03CF38BD"/>
    <w:rsid w:val="0E622650"/>
    <w:rsid w:val="115E51A3"/>
    <w:rsid w:val="14991C55"/>
    <w:rsid w:val="18B42547"/>
    <w:rsid w:val="19E24072"/>
    <w:rsid w:val="1AB955C4"/>
    <w:rsid w:val="1C902FC8"/>
    <w:rsid w:val="1F4C528D"/>
    <w:rsid w:val="1F726F9D"/>
    <w:rsid w:val="203A7ED9"/>
    <w:rsid w:val="221E4CC8"/>
    <w:rsid w:val="2B54720A"/>
    <w:rsid w:val="2DC7118A"/>
    <w:rsid w:val="33630667"/>
    <w:rsid w:val="366701EA"/>
    <w:rsid w:val="3A172861"/>
    <w:rsid w:val="405D7443"/>
    <w:rsid w:val="443E7D02"/>
    <w:rsid w:val="46AB2654"/>
    <w:rsid w:val="498D72D3"/>
    <w:rsid w:val="515132D4"/>
    <w:rsid w:val="569C6DA8"/>
    <w:rsid w:val="593B3BE0"/>
    <w:rsid w:val="5B9833F4"/>
    <w:rsid w:val="61E97DA8"/>
    <w:rsid w:val="64E21E2A"/>
    <w:rsid w:val="659F5F6D"/>
    <w:rsid w:val="660B29D4"/>
    <w:rsid w:val="6649771A"/>
    <w:rsid w:val="690225F9"/>
    <w:rsid w:val="6DAB0ADE"/>
    <w:rsid w:val="6EBC5409"/>
    <w:rsid w:val="6F531FF4"/>
    <w:rsid w:val="729B08C7"/>
    <w:rsid w:val="76637D9B"/>
    <w:rsid w:val="77120F5A"/>
    <w:rsid w:val="78F45E4D"/>
    <w:rsid w:val="7DB94F54"/>
    <w:rsid w:val="7F786AE7"/>
    <w:rsid w:val="7F9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5">
    <w:name w:val="heading 3"/>
    <w:basedOn w:val="1"/>
    <w:next w:val="1"/>
    <w:link w:val="16"/>
    <w:semiHidden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napToGrid w:val="0"/>
      <w:spacing w:after="120" w:line="360" w:lineRule="auto"/>
      <w:ind w:firstLine="200" w:firstLineChars="200"/>
    </w:pPr>
    <w:rPr>
      <w:rFonts w:ascii="??_GB2312" w:hAnsi="Times New Roman" w:eastAsia="Times New Roman" w:cs="Times New Roman"/>
      <w:sz w:val="24"/>
    </w:r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2"/>
    <w:basedOn w:val="1"/>
    <w:qFormat/>
    <w:uiPriority w:val="0"/>
    <w:pPr>
      <w:spacing w:line="360" w:lineRule="auto"/>
      <w:ind w:firstLine="560" w:firstLineChars="200"/>
    </w:pPr>
    <w:rPr>
      <w:sz w:val="28"/>
      <w:szCs w:val="28"/>
    </w:rPr>
  </w:style>
  <w:style w:type="paragraph" w:styleId="9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6"/>
    <w:link w:val="17"/>
    <w:qFormat/>
    <w:uiPriority w:val="99"/>
    <w:pPr>
      <w:ind w:firstLine="420" w:firstLineChars="200"/>
    </w:pPr>
    <w:rPr>
      <w:rFonts w:ascii="仿宋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5">
    <w:name w:val="标题 2 字符"/>
    <w:basedOn w:val="13"/>
    <w:link w:val="4"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6">
    <w:name w:val="标题 3 字符"/>
    <w:basedOn w:val="13"/>
    <w:link w:val="5"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7">
    <w:name w:val="正文文本首行缩进 2 字符"/>
    <w:basedOn w:val="13"/>
    <w:link w:val="10"/>
    <w:qFormat/>
    <w:uiPriority w:val="99"/>
    <w:rPr>
      <w:rFonts w:ascii="仿宋" w:hAnsi="宋体"/>
      <w:kern w:val="2"/>
      <w:sz w:val="28"/>
      <w:szCs w:val="24"/>
    </w:rPr>
  </w:style>
  <w:style w:type="paragraph" w:customStyle="1" w:styleId="18">
    <w:name w:val="0"/>
    <w:basedOn w:val="1"/>
    <w:qFormat/>
    <w:uiPriority w:val="0"/>
    <w:pPr>
      <w:widowControl/>
      <w:snapToGrid w:val="0"/>
      <w:ind w:firstLine="480" w:firstLineChars="200"/>
    </w:pPr>
    <w:rPr>
      <w:rFonts w:ascii="仿宋_GB2312" w:hAnsi="Times New Roman" w:eastAsia="仿宋_GB2312" w:cs="Times New Roman"/>
      <w:kern w:val="0"/>
      <w:sz w:val="24"/>
    </w:rPr>
  </w:style>
  <w:style w:type="character" w:customStyle="1" w:styleId="19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20">
    <w:name w:val="font01"/>
    <w:basedOn w:val="1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FA04-FC6E-4A04-8EF9-F55558B596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1877</Words>
  <Characters>2329</Characters>
  <Lines>20</Lines>
  <Paragraphs>5</Paragraphs>
  <TotalTime>6</TotalTime>
  <ScaleCrop>false</ScaleCrop>
  <LinksUpToDate>false</LinksUpToDate>
  <CharactersWithSpaces>2365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2024-06-03T02:15:00Z</dcterms:created>
  <dc:creator>陈燃</dc:creator>
  <cp:lastModifiedBy>...</cp:lastModifiedBy>
  <dcterms:modified xsi:type="dcterms:W3CDTF">2024-08-12T10:00:06Z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CAE79876FCF2484AA188CAA53101F0B2_11</vt:lpwstr>
  </property>
</Properties>
</file>