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《G5京昆高速公路汉中至广元段（四川境）扩容工程压覆已查明重要矿产资源评估报告》矿产资源储量评审备案公示信息表</w:t>
      </w:r>
    </w:p>
    <w:tbl>
      <w:tblPr>
        <w:tblStyle w:val="6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7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国网四川省电力公司阿坝供电公司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《G5京昆高速公路汉中至广元段（四川境）扩容工程压覆已查明重要矿产资源评估报告》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2"/>
                <w:sz w:val="22"/>
                <w:szCs w:val="22"/>
                <w:lang w:val="en-US" w:eastAsia="zh-CN" w:bidi="ar-SA"/>
              </w:rPr>
              <w:t>四川省地质矿产勘查开发局一0一地质队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吴锦超   李雷豪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周中国   肖建新   卢忠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平面影响范围：路基及隧道以路中心线外推140m，中型及以上桥梁以公路中心线外推240m，停车服务区以征地范围外推15m。影响深度：路基段、隧道段及停车服务区段为路面设计标高以下300m，隧道段上方为顶面标高以上100m；桥梁段和互通段为桥基路面设计标高以下300m与移动角交线后，垂直向下为无限深。岩石移动角参数：走向移动角δ=73°，上山移动角γ=73°，下山移动角β=63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评审评定，拟建G5京昆高速公路汉中至广元段（四川境）扩容工程未压覆已查明重要矿产资源。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7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 w:firstLine="420" w:firstLineChars="200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拟建工程影响区范围内存在1处已查明重要矿产资源的矿产地（广元市利州区莲花寨煤矿），2宗采矿权（广元市三军煤业有限责任公司三军煤矿、广元市荣和矿业有限公司李家碥一矿）、1宗探矿权（四川省广元市利州区年家坪硫铁矿及共生钒矿、伴生钼、硒、铼矿详查）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1242CC7"/>
    <w:rsid w:val="052C6F98"/>
    <w:rsid w:val="08E25683"/>
    <w:rsid w:val="09440A8C"/>
    <w:rsid w:val="09952026"/>
    <w:rsid w:val="0B0C5C37"/>
    <w:rsid w:val="10736DF9"/>
    <w:rsid w:val="12C34231"/>
    <w:rsid w:val="1B8732E9"/>
    <w:rsid w:val="1D467FFF"/>
    <w:rsid w:val="2CD5384D"/>
    <w:rsid w:val="2E747222"/>
    <w:rsid w:val="308402F0"/>
    <w:rsid w:val="310A06FD"/>
    <w:rsid w:val="327A3119"/>
    <w:rsid w:val="32917387"/>
    <w:rsid w:val="3375D5DD"/>
    <w:rsid w:val="36172D8A"/>
    <w:rsid w:val="3A2F06C0"/>
    <w:rsid w:val="3AA93E77"/>
    <w:rsid w:val="3C07147C"/>
    <w:rsid w:val="3E13386B"/>
    <w:rsid w:val="3FA4458D"/>
    <w:rsid w:val="41410ACB"/>
    <w:rsid w:val="42531B7C"/>
    <w:rsid w:val="429304E7"/>
    <w:rsid w:val="437E6621"/>
    <w:rsid w:val="462F5954"/>
    <w:rsid w:val="48C77C26"/>
    <w:rsid w:val="49991828"/>
    <w:rsid w:val="4C142777"/>
    <w:rsid w:val="4D970B37"/>
    <w:rsid w:val="4F912937"/>
    <w:rsid w:val="4FEA41EF"/>
    <w:rsid w:val="50573702"/>
    <w:rsid w:val="51156C2C"/>
    <w:rsid w:val="53F430D0"/>
    <w:rsid w:val="5483718F"/>
    <w:rsid w:val="55FE59C1"/>
    <w:rsid w:val="56680AAE"/>
    <w:rsid w:val="58D24D40"/>
    <w:rsid w:val="59770E83"/>
    <w:rsid w:val="5B6106CD"/>
    <w:rsid w:val="5E200B57"/>
    <w:rsid w:val="62E60A5A"/>
    <w:rsid w:val="62FA7748"/>
    <w:rsid w:val="655667A0"/>
    <w:rsid w:val="67AD6EC0"/>
    <w:rsid w:val="67F76100"/>
    <w:rsid w:val="67FA5203"/>
    <w:rsid w:val="69C76671"/>
    <w:rsid w:val="6E1626E6"/>
    <w:rsid w:val="70555797"/>
    <w:rsid w:val="70897467"/>
    <w:rsid w:val="72730010"/>
    <w:rsid w:val="73AF3A03"/>
    <w:rsid w:val="743E4454"/>
    <w:rsid w:val="75F21F62"/>
    <w:rsid w:val="76604EA1"/>
    <w:rsid w:val="7C1975BB"/>
    <w:rsid w:val="7EBE43BD"/>
    <w:rsid w:val="BDEE0C0D"/>
    <w:rsid w:val="BFBFFA42"/>
    <w:rsid w:val="BFF5E490"/>
    <w:rsid w:val="C69F8F9B"/>
    <w:rsid w:val="DFFFEA2B"/>
    <w:rsid w:val="FF7AF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line="360" w:lineRule="auto"/>
    </w:pPr>
    <w:rPr>
      <w:rFonts w:ascii="宋体" w:hAnsi="Times New Roman"/>
      <w:sz w:val="24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character" w:customStyle="1" w:styleId="8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2022-01-19T17:14:00Z</dcterms:created>
  <dc:creator>雁过留声</dc:creator>
  <cp:lastModifiedBy>荣毅</cp:lastModifiedBy>
  <cp:lastPrinted>2022-03-18T08:27:00Z</cp:lastPrinted>
  <dcterms:modified xsi:type="dcterms:W3CDTF">2022-10-19T14:08:13Z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