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《四川省盐边县冷水箐镍矿资源储量核实报告》矿产资源储量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评审备案公示信息表</w:t>
      </w:r>
    </w:p>
    <w:tbl>
      <w:tblPr>
        <w:tblStyle w:val="8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盐边县宏大铜镍有限责任公司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《《四川省盐边县冷水箐镍矿资源储量核实报告》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四川省冶金地质勘查局六0五大队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彭召强  周勇   金飞等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C5100002010123120095006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盐边县宏大铜镍有限责任公司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刘图强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魏继生  李永建  张裕书  刘智权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采用经论证的工业指标：Ni边界品位0.20%，最低工业品位0.30%，最小可采厚度1.00m，最小夹石剔除厚度2.00m，最低工业米·百分值Ni 0.30m·%；伴生有用组分综合评价指标Cu 0.09%，Co 0.013%。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采矿期间查明资源量发生重大变化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镍矿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评审通过的资源储量见下表。</w:t>
            </w:r>
          </w:p>
          <w:tbl>
            <w:tblPr>
              <w:tblStyle w:val="8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5"/>
              <w:gridCol w:w="684"/>
              <w:gridCol w:w="960"/>
              <w:gridCol w:w="835"/>
              <w:gridCol w:w="741"/>
              <w:gridCol w:w="734"/>
              <w:gridCol w:w="956"/>
              <w:gridCol w:w="930"/>
              <w:gridCol w:w="821"/>
              <w:gridCol w:w="82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319" w:type="dxa"/>
                  <w:gridSpan w:val="3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资源储量</w:t>
                  </w:r>
                </w:p>
              </w:tc>
              <w:tc>
                <w:tcPr>
                  <w:tcW w:w="231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主矿产：</w:t>
                  </w: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镍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矿</w:t>
                  </w:r>
                </w:p>
              </w:tc>
              <w:tc>
                <w:tcPr>
                  <w:tcW w:w="3529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伴生矿产：</w:t>
                  </w: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铜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矿</w:t>
                  </w: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、钴矿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319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矿石量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金属量</w:t>
                  </w:r>
                </w:p>
              </w:tc>
              <w:tc>
                <w:tcPr>
                  <w:tcW w:w="73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品位(</w:t>
                  </w: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%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)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铜金属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量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钴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金属量</w:t>
                  </w:r>
                </w:p>
              </w:tc>
              <w:tc>
                <w:tcPr>
                  <w:tcW w:w="821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Cu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品位(</w:t>
                  </w: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%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)</w:t>
                  </w:r>
                </w:p>
              </w:tc>
              <w:tc>
                <w:tcPr>
                  <w:tcW w:w="822" w:type="dxa"/>
                  <w:vMerge w:val="restart"/>
                  <w:tcBorders>
                    <w:top w:val="single" w:color="000000" w:sz="4" w:space="0"/>
                    <w:left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Co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品位(</w:t>
                  </w: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%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)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319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(万吨)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(</w:t>
                  </w: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吨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)</w:t>
                  </w:r>
                </w:p>
              </w:tc>
              <w:tc>
                <w:tcPr>
                  <w:tcW w:w="73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(</w:t>
                  </w:r>
                  <w:r>
                    <w:rPr>
                      <w:rStyle w:val="12"/>
                      <w:rFonts w:hint="default" w:ascii="Times New Roman" w:cs="Times New Roman"/>
                      <w:color w:val="auto"/>
                      <w:lang w:bidi="ar"/>
                    </w:rPr>
                    <w:t>吨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(</w:t>
                  </w:r>
                  <w:r>
                    <w:rPr>
                      <w:rStyle w:val="12"/>
                      <w:rFonts w:hint="default" w:ascii="Times New Roman" w:cs="Times New Roman"/>
                      <w:color w:val="auto"/>
                      <w:lang w:bidi="ar"/>
                    </w:rPr>
                    <w:t>吨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)</w:t>
                  </w:r>
                </w:p>
              </w:tc>
              <w:tc>
                <w:tcPr>
                  <w:tcW w:w="821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822" w:type="dxa"/>
                  <w:vMerge w:val="continue"/>
                  <w:tcBorders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0" w:hRule="atLeast"/>
                <w:jc w:val="center"/>
              </w:trPr>
              <w:tc>
                <w:tcPr>
                  <w:tcW w:w="6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资源量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保有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探明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61.9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2249 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0.36 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1146 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eastAsia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121 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0.19 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0.020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6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控制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75.5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3602 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0.48 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1583 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168 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0.21 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0.022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6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推断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52.6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2192 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0.42 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1019 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104 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0.19 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0.020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6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小计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190.0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bookmarkStart w:id="0" w:name="_GoBack"/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8043 </w:t>
                  </w:r>
                  <w:bookmarkEnd w:id="0"/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0.42 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3748 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393 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0.20 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0.021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64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动</w:t>
                  </w: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 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用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204.9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17786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0.87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5738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eastAsia="仿宋_GB2312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0.28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eastAsia="仿宋_GB2312"/>
                      <w:color w:val="auto"/>
                      <w:kern w:val="0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val="en-US" w:eastAsia="zh-CN" w:bidi="ar"/>
                    </w:rPr>
                    <w:t>/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64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累计查明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394.9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25829 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0.6</w:t>
                  </w: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9486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0.24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储量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保有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证实储量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55.7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2024 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0.36 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1031 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</w:rPr>
                    <w:t>109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</w:rPr>
                    <w:t>0.19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0.020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6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可信储量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66.8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3172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0.47 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1387 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</w:rPr>
                    <w:t>149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</w:rPr>
                    <w:t>0.21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0.022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6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小计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122.5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5196 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0.42 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</w:rPr>
                    <w:t>2418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258 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0.20 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0.021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动用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证实储量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169.7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bidi="ar"/>
                    </w:rPr>
                    <w:t>14734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bidi="ar"/>
                    </w:rPr>
                    <w:t>0.87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</w:rPr>
                    <w:t>4753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eastAsia="仿宋_GB2312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</w:rPr>
                    <w:t>0.28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eastAsia="仿宋_GB2312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68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动用+保有</w:t>
                  </w: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证实储量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225.4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bidi="ar"/>
                    </w:rPr>
                    <w:t xml:space="preserve">16758 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bidi="ar"/>
                    </w:rPr>
                    <w:t xml:space="preserve">0.74 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</w:rPr>
                    <w:t>5784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0.26 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6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可信储量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66.8 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bidi="ar"/>
                    </w:rPr>
                    <w:t xml:space="preserve">3172 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bidi="ar"/>
                    </w:rPr>
                    <w:t xml:space="preserve">0.47 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1387 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0.21 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6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64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default" w:eastAsia="仿宋_GB2312"/>
                      <w:color w:val="auto"/>
                      <w:kern w:val="0"/>
                      <w:szCs w:val="21"/>
                      <w:lang w:bidi="ar"/>
                    </w:rPr>
                    <w:t>合计</w:t>
                  </w:r>
                </w:p>
              </w:tc>
              <w:tc>
                <w:tcPr>
                  <w:tcW w:w="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>292.2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1"/>
                      <w:szCs w:val="21"/>
                    </w:rPr>
                    <w:t>19930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21"/>
                      <w:szCs w:val="21"/>
                    </w:rPr>
                    <w:t>0.68</w:t>
                  </w:r>
                </w:p>
              </w:tc>
              <w:tc>
                <w:tcPr>
                  <w:tcW w:w="9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kern w:val="0"/>
                      <w:szCs w:val="21"/>
                      <w:lang w:bidi="ar"/>
                    </w:rPr>
                    <w:t xml:space="preserve">7171 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</w:rPr>
                    <w:t>0.25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40" w:lineRule="exact"/>
                    <w:ind w:left="0" w:right="0"/>
                    <w:jc w:val="center"/>
                    <w:rPr>
                      <w:rFonts w:hint="default" w:eastAsia="仿宋_GB2312"/>
                      <w:color w:val="auto"/>
                      <w:szCs w:val="21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4A0047"/>
    <w:rsid w:val="01D24C09"/>
    <w:rsid w:val="052C6F98"/>
    <w:rsid w:val="073C399C"/>
    <w:rsid w:val="0E741BC0"/>
    <w:rsid w:val="0F5D3253"/>
    <w:rsid w:val="12C34231"/>
    <w:rsid w:val="160C13C3"/>
    <w:rsid w:val="1B8732E9"/>
    <w:rsid w:val="26031705"/>
    <w:rsid w:val="286C60A7"/>
    <w:rsid w:val="292C33BF"/>
    <w:rsid w:val="2B7E329E"/>
    <w:rsid w:val="2E747222"/>
    <w:rsid w:val="308402F0"/>
    <w:rsid w:val="32917387"/>
    <w:rsid w:val="33047233"/>
    <w:rsid w:val="38820B69"/>
    <w:rsid w:val="3C07147C"/>
    <w:rsid w:val="3C1328AE"/>
    <w:rsid w:val="3CA36CA8"/>
    <w:rsid w:val="3DB50464"/>
    <w:rsid w:val="3E13386B"/>
    <w:rsid w:val="42531B7C"/>
    <w:rsid w:val="437E6621"/>
    <w:rsid w:val="48C77C26"/>
    <w:rsid w:val="49991828"/>
    <w:rsid w:val="4BDDC1C7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D21706A"/>
    <w:rsid w:val="5E200B57"/>
    <w:rsid w:val="5FEB64D6"/>
    <w:rsid w:val="60716DEE"/>
    <w:rsid w:val="62FA7748"/>
    <w:rsid w:val="669D5621"/>
    <w:rsid w:val="67F76100"/>
    <w:rsid w:val="699D154D"/>
    <w:rsid w:val="6B592915"/>
    <w:rsid w:val="6D165A8C"/>
    <w:rsid w:val="6D242065"/>
    <w:rsid w:val="6E232CDC"/>
    <w:rsid w:val="70555797"/>
    <w:rsid w:val="70897467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Plain Text"/>
    <w:basedOn w:val="1"/>
    <w:next w:val="3"/>
    <w:qFormat/>
    <w:uiPriority w:val="0"/>
    <w:rPr>
      <w:rFonts w:ascii="宋体" w:hAnsi="Courier New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2">
    <w:name w:val="font6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2022-10-19T14:14:11Z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