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3" w:rightChars="-149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《四川省米易县马槟榔矿区钒钛磁铁矿详查报告》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3" w:rightChars="-149"/>
        <w:jc w:val="center"/>
        <w:textAlignment w:val="auto"/>
        <w:outlineLvl w:val="0"/>
        <w:rPr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矿产资源储量评审备案公示信息表</w:t>
      </w:r>
    </w:p>
    <w:tbl>
      <w:tblPr>
        <w:tblStyle w:val="8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攀枝花中禾矿业有限公司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《四川省米易县马槟榔矿区钒钛磁铁矿详查报告》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四川省地质矿产勘查开发局四○三地质队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沈和明   项志磊   杨  波   李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T5100002013052030047665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攀枝花中禾矿业有限公司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赖贤友  魏继生   刘明富   杨晓军   刘敏玲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资源量估算采用论证的工业指标：TFe当量边界品位15.5%（扣除TiO2的折算后相当于TFe 12.85%），TFe当量最低工业品位20.5%（扣除TiO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的折算后相当于TFe 16.90%），最小可采厚度2m，最小夹石剔除厚度1m；共生TiO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与TFe品位折算系数k值1.2888（TiO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综合尾矿品位3.8%），伴生组分综合评价指标V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0.1%。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探矿权转采矿权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00" w:firstLineChars="200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30"/>
                <w:szCs w:val="30"/>
              </w:rPr>
              <w:t>评审通过的资源量见下表。</w:t>
            </w:r>
          </w:p>
          <w:tbl>
            <w:tblPr>
              <w:tblStyle w:val="8"/>
              <w:tblW w:w="703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5"/>
              <w:gridCol w:w="750"/>
              <w:gridCol w:w="958"/>
              <w:gridCol w:w="784"/>
              <w:gridCol w:w="854"/>
              <w:gridCol w:w="912"/>
              <w:gridCol w:w="657"/>
              <w:gridCol w:w="9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1165" w:type="dxa"/>
                  <w:vMerge w:val="restart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资源储量</w:t>
                  </w:r>
                </w:p>
              </w:tc>
              <w:tc>
                <w:tcPr>
                  <w:tcW w:w="1708" w:type="dxa"/>
                  <w:gridSpan w:val="2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主矿产</w:t>
                  </w:r>
                </w:p>
              </w:tc>
              <w:tc>
                <w:tcPr>
                  <w:tcW w:w="4158" w:type="dxa"/>
                  <w:gridSpan w:val="5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eastAsia="仿宋_GB2312"/>
                      <w:color w:val="auto"/>
                      <w:kern w:val="0"/>
                      <w:szCs w:val="21"/>
                    </w:rPr>
                    <w:t>共</w:t>
                  </w: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伴生矿产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1165" w:type="dxa"/>
                  <w:vMerge w:val="continue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铁矿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矿石量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(</w:t>
                  </w:r>
                  <w:r>
                    <w:rPr>
                      <w:rStyle w:val="14"/>
                      <w:rFonts w:hint="default" w:ascii="Times New Roman" w:cs="Times New Roman"/>
                      <w:color w:val="auto"/>
                    </w:rPr>
                    <w:t>万吨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)</w:t>
                  </w:r>
                </w:p>
              </w:tc>
              <w:tc>
                <w:tcPr>
                  <w:tcW w:w="1766" w:type="dxa"/>
                  <w:gridSpan w:val="2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eastAsia="仿宋_GB2312"/>
                      <w:color w:val="auto"/>
                      <w:kern w:val="0"/>
                      <w:szCs w:val="21"/>
                      <w:lang w:eastAsia="zh-CN"/>
                    </w:rPr>
                    <w:t>共生：</w:t>
                  </w: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钛矿</w:t>
                  </w:r>
                </w:p>
              </w:tc>
              <w:tc>
                <w:tcPr>
                  <w:tcW w:w="1608" w:type="dxa"/>
                  <w:gridSpan w:val="2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eastAsia="仿宋_GB2312"/>
                      <w:color w:val="auto"/>
                      <w:kern w:val="0"/>
                      <w:szCs w:val="21"/>
                      <w:lang w:eastAsia="zh-CN"/>
                    </w:rPr>
                    <w:t>伴生：</w:t>
                  </w: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钒矿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1165" w:type="dxa"/>
                  <w:vMerge w:val="continue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矿石量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(</w:t>
                  </w:r>
                  <w:r>
                    <w:rPr>
                      <w:rStyle w:val="14"/>
                      <w:rFonts w:hint="default" w:ascii="Times New Roman" w:cs="Times New Roman"/>
                      <w:color w:val="auto"/>
                    </w:rPr>
                    <w:t>万吨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)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平均品位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Style w:val="14"/>
                      <w:rFonts w:hint="default" w:ascii="Times New Roman" w:cs="Times New Roman"/>
                      <w:color w:val="auto"/>
                    </w:rPr>
                    <w:t>TFe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(%)</w:t>
                  </w:r>
                </w:p>
              </w:tc>
              <w:tc>
                <w:tcPr>
                  <w:tcW w:w="784" w:type="dxa"/>
                  <w:vMerge w:val="continue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Style w:val="16"/>
                      <w:rFonts w:eastAsia="仿宋_GB2312"/>
                      <w:color w:val="auto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TiO</w:t>
                  </w:r>
                  <w:r>
                    <w:rPr>
                      <w:rStyle w:val="16"/>
                      <w:rFonts w:eastAsia="仿宋_GB2312"/>
                      <w:color w:val="auto"/>
                    </w:rPr>
                    <w:t>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Style w:val="15"/>
                      <w:rFonts w:eastAsia="仿宋_GB2312"/>
                      <w:color w:val="auto"/>
                    </w:rPr>
                    <w:t>(</w:t>
                  </w:r>
                  <w:r>
                    <w:rPr>
                      <w:rStyle w:val="14"/>
                      <w:rFonts w:hint="default" w:ascii="Times New Roman" w:cs="Times New Roman"/>
                      <w:color w:val="auto"/>
                    </w:rPr>
                    <w:t>吨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)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平均品位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TiO</w:t>
                  </w:r>
                  <w:r>
                    <w:rPr>
                      <w:rStyle w:val="16"/>
                      <w:rFonts w:eastAsia="仿宋_GB2312"/>
                      <w:color w:val="auto"/>
                    </w:rPr>
                    <w:t>2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(%)</w:t>
                  </w:r>
                </w:p>
              </w:tc>
              <w:tc>
                <w:tcPr>
                  <w:tcW w:w="657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Style w:val="16"/>
                      <w:rFonts w:eastAsia="仿宋_GB2312"/>
                      <w:color w:val="auto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V</w:t>
                  </w:r>
                  <w:r>
                    <w:rPr>
                      <w:rStyle w:val="16"/>
                      <w:rFonts w:eastAsia="仿宋_GB2312"/>
                      <w:color w:val="auto"/>
                    </w:rPr>
                    <w:t>2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O</w:t>
                  </w:r>
                  <w:r>
                    <w:rPr>
                      <w:rStyle w:val="16"/>
                      <w:rFonts w:eastAsia="仿宋_GB2312"/>
                      <w:color w:val="auto"/>
                    </w:rPr>
                    <w:t>5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Style w:val="15"/>
                      <w:rFonts w:eastAsia="仿宋_GB2312"/>
                      <w:color w:val="auto"/>
                    </w:rPr>
                    <w:t>(</w:t>
                  </w:r>
                  <w:r>
                    <w:rPr>
                      <w:rStyle w:val="14"/>
                      <w:rFonts w:hint="default" w:ascii="Times New Roman" w:cs="Times New Roman"/>
                      <w:color w:val="auto"/>
                    </w:rPr>
                    <w:t>吨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)</w:t>
                  </w:r>
                </w:p>
              </w:tc>
              <w:tc>
                <w:tcPr>
                  <w:tcW w:w="951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平均品位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V</w:t>
                  </w:r>
                  <w:r>
                    <w:rPr>
                      <w:rStyle w:val="16"/>
                      <w:rFonts w:eastAsia="仿宋_GB2312"/>
                      <w:color w:val="auto"/>
                    </w:rPr>
                    <w:t>2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O</w:t>
                  </w:r>
                  <w:r>
                    <w:rPr>
                      <w:rStyle w:val="16"/>
                      <w:rFonts w:eastAsia="仿宋_GB2312"/>
                      <w:color w:val="auto"/>
                    </w:rPr>
                    <w:t>5</w:t>
                  </w:r>
                  <w:r>
                    <w:rPr>
                      <w:rStyle w:val="15"/>
                      <w:rFonts w:eastAsia="仿宋_GB2312"/>
                      <w:color w:val="auto"/>
                    </w:rPr>
                    <w:t>(%)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1" w:hRule="atLeast"/>
                <w:jc w:val="center"/>
              </w:trPr>
              <w:tc>
                <w:tcPr>
                  <w:tcW w:w="1165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控制资源量</w:t>
                  </w:r>
                </w:p>
              </w:tc>
              <w:tc>
                <w:tcPr>
                  <w:tcW w:w="750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2854.8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19.95</w:t>
                  </w:r>
                </w:p>
              </w:tc>
              <w:tc>
                <w:tcPr>
                  <w:tcW w:w="784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2854.8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1851386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6.49</w:t>
                  </w:r>
                </w:p>
              </w:tc>
              <w:tc>
                <w:tcPr>
                  <w:tcW w:w="657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46617</w:t>
                  </w:r>
                </w:p>
              </w:tc>
              <w:tc>
                <w:tcPr>
                  <w:tcW w:w="951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0.163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 w:hRule="atLeast"/>
                <w:jc w:val="center"/>
              </w:trPr>
              <w:tc>
                <w:tcPr>
                  <w:tcW w:w="1165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default" w:eastAsia="仿宋_GB2312"/>
                      <w:color w:val="auto"/>
                      <w:szCs w:val="21"/>
                    </w:rPr>
                  </w:pPr>
                  <w:r>
                    <w:rPr>
                      <w:rFonts w:hint="default" w:eastAsia="仿宋_GB2312"/>
                      <w:color w:val="auto"/>
                      <w:kern w:val="0"/>
                      <w:szCs w:val="21"/>
                    </w:rPr>
                    <w:t>推断资源量</w:t>
                  </w:r>
                </w:p>
              </w:tc>
              <w:tc>
                <w:tcPr>
                  <w:tcW w:w="750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2688.0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20.14</w:t>
                  </w:r>
                </w:p>
              </w:tc>
              <w:tc>
                <w:tcPr>
                  <w:tcW w:w="784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2688.0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1827877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6.80</w:t>
                  </w:r>
                </w:p>
              </w:tc>
              <w:tc>
                <w:tcPr>
                  <w:tcW w:w="657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43097</w:t>
                  </w:r>
                </w:p>
              </w:tc>
              <w:tc>
                <w:tcPr>
                  <w:tcW w:w="951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0.160</w:t>
                  </w:r>
                </w:p>
              </w:tc>
            </w:tr>
          </w:tbl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8471FD"/>
    <w:rsid w:val="09952026"/>
    <w:rsid w:val="0B0C5C37"/>
    <w:rsid w:val="10736DF9"/>
    <w:rsid w:val="12C34231"/>
    <w:rsid w:val="17FB6203"/>
    <w:rsid w:val="198336DF"/>
    <w:rsid w:val="1B8732E9"/>
    <w:rsid w:val="1D467FFF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B8C4FBE"/>
    <w:rsid w:val="5E200B57"/>
    <w:rsid w:val="5EA81DED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99E1382"/>
    <w:rsid w:val="7B7DC6D0"/>
    <w:rsid w:val="7C1975BB"/>
    <w:rsid w:val="7EBE43BD"/>
    <w:rsid w:val="7FFEB032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6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首行缩进 2"/>
    <w:basedOn w:val="6"/>
    <w:qFormat/>
    <w:uiPriority w:val="99"/>
    <w:pPr>
      <w:ind w:firstLine="420" w:firstLineChars="200"/>
    </w:pPr>
  </w:style>
  <w:style w:type="character" w:customStyle="1" w:styleId="12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3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2022-01-19T17:14:00Z</dcterms:created>
  <dc:creator>雁过留声</dc:creator>
  <cp:lastModifiedBy>荣毅</cp:lastModifiedBy>
  <cp:lastPrinted>2022-03-18T08:27:00Z</cp:lastPrinted>
  <dcterms:modified xsi:type="dcterms:W3CDTF">2022-12-08T17:42:09Z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