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outlineLvl w:val="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pPr>
      <w:r>
        <w:rPr>
          <w:rFonts w:hint="eastAsia" w:ascii="方正小标宋简体" w:hAnsi="方正小标宋简体" w:eastAsia="方正小标宋简体" w:cs="方正小标宋简体"/>
          <w:sz w:val="32"/>
          <w:szCs w:val="32"/>
          <w:lang w:val="en-US" w:eastAsia="zh-CN"/>
        </w:rPr>
        <w:t>《引大济岷工程建设项目压覆已查明重要矿产资源评估报告》</w:t>
      </w:r>
      <w:r>
        <w:rPr>
          <w:rFonts w:hint="eastAsia" w:ascii="方正小标宋简体" w:hAnsi="方正小标宋简体" w:eastAsia="方正小标宋简体" w:cs="方正小标宋简体"/>
          <w:color w:val="000000"/>
          <w:sz w:val="36"/>
          <w:szCs w:val="36"/>
        </w:rPr>
        <w:t>矿产资源储量评审备案公示信息表</w:t>
      </w:r>
    </w:p>
    <w:tbl>
      <w:tblPr>
        <w:tblStyle w:val="5"/>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7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申请人</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四川省水利发展集团有限公司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报告名称</w:t>
            </w:r>
          </w:p>
        </w:tc>
        <w:tc>
          <w:tcPr>
            <w:tcW w:w="7882" w:type="dxa"/>
            <w:noWrap w:val="0"/>
            <w:vAlign w:val="center"/>
          </w:tcPr>
          <w:p>
            <w:pPr>
              <w:pStyle w:val="4"/>
              <w:keepNext w:val="0"/>
              <w:keepLines w:val="0"/>
              <w:widowControl/>
              <w:suppressLineNumbers w:val="0"/>
              <w:spacing w:before="0" w:beforeAutospacing="0" w:after="0" w:afterAutospacing="0" w:line="330" w:lineRule="atLeast"/>
              <w:ind w:left="0" w:right="0" w:firstLine="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《引大济岷工程建设项目压覆已查明重要矿产资源评估报告》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报告编制单位</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四川省地质工程勘察院集团有限公司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主要编写人员</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吴明皓、肖军、徐晓江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矿业权证号</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lang w:val="en-US" w:eastAsia="zh-CN"/>
              </w:rPr>
            </w:pPr>
            <w:r>
              <w:rPr>
                <w:rFonts w:hint="eastAsia" w:eastAsia="仿宋_GB2312" w:cs="Times New Roman"/>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矿业权人名称</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sz w:val="24"/>
                <w:szCs w:val="24"/>
                <w:lang w:eastAsia="zh-CN"/>
              </w:rPr>
            </w:pPr>
            <w:r>
              <w:rPr>
                <w:rFonts w:hint="eastAsia" w:eastAsia="仿宋_GB2312" w:cs="Times New Roman"/>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bookmarkStart w:id="0" w:name="_GoBack" w:colFirst="1" w:colLast="1"/>
            <w:r>
              <w:rPr>
                <w:rFonts w:hint="default" w:ascii="Times New Roman" w:hAnsi="Times New Roman" w:eastAsia="仿宋_GB2312" w:cs="Times New Roman"/>
                <w:color w:val="000000"/>
                <w:sz w:val="24"/>
                <w:szCs w:val="24"/>
              </w:rPr>
              <w:t>评审机构</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四川省矿产资源储量评审中心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评审专家</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郑辉、 姜泽凡</w:t>
            </w:r>
            <w:r>
              <w:rPr>
                <w:rFonts w:hint="eastAsia" w:ascii="Times New Roman" w:hAnsi="Times New Roman" w:eastAsia="仿宋_GB2312" w:cs="Times New Roman"/>
                <w:color w:val="000000"/>
                <w:sz w:val="24"/>
                <w:szCs w:val="24"/>
                <w:lang w:eastAsia="zh-CN"/>
              </w:rPr>
              <w:t>、</w:t>
            </w:r>
            <w:r>
              <w:rPr>
                <w:rFonts w:hint="eastAsia" w:ascii="Times New Roman" w:hAnsi="Times New Roman" w:eastAsia="仿宋_GB2312" w:cs="Times New Roman"/>
                <w:color w:val="000000"/>
                <w:sz w:val="24"/>
                <w:szCs w:val="24"/>
                <w:lang w:val="en-US" w:eastAsia="zh-CN"/>
              </w:rPr>
              <w:t>王林</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本次采用工业指标</w:t>
            </w:r>
            <w:r>
              <w:rPr>
                <w:rFonts w:hint="eastAsia" w:eastAsia="仿宋_GB2312" w:cs="Times New Roman"/>
                <w:color w:val="000000"/>
                <w:sz w:val="24"/>
                <w:szCs w:val="24"/>
                <w:lang w:val="en-US" w:eastAsia="zh-CN"/>
              </w:rPr>
              <w:t>/工程压覆影响范围</w:t>
            </w:r>
          </w:p>
        </w:tc>
        <w:tc>
          <w:tcPr>
            <w:tcW w:w="7882" w:type="dxa"/>
            <w:noWrap w:val="0"/>
            <w:vAlign w:val="center"/>
          </w:tcPr>
          <w:p>
            <w:pPr>
              <w:keepNext w:val="0"/>
              <w:keepLines w:val="0"/>
              <w:suppressLineNumbers w:val="0"/>
              <w:spacing w:before="0" w:beforeAutospacing="0" w:after="0" w:afterAutospacing="0" w:line="240" w:lineRule="auto"/>
              <w:ind w:left="0" w:right="0" w:firstLine="480" w:firstLineChars="200"/>
              <w:jc w:val="left"/>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工程压覆影响范围经具有相应工程设计资质的单位论证并经建设单位确认。工程平面影响范围：倒虹吸、渡槽、暗渠等建筑物以永久征地线外推15m，渠道、隧道以外廓线外推15m，拉塔河电站、虎跳电站、大观电站以征地线外扩50m。影响深度：依工程所处工程地质条件分三个区域，Ⅰ区为泸定取水口至天全县白沙河消力池，以隧道及构筑物设计高程以下70m，隧道洞顶以上100m或至地表为界；Ⅱ区为白沙河消力池至汤家坝压力前池，以隧道及构筑物设计高程以下40m，隧道洞顶以上100m或至地表为界；Ⅲ区为平原区输水管线段，以地面以下30m为界。岩石移动角：Ⅰ区岩层走向移动角δ＝70°、上山移动角γ＝70°、下山移动角β＝70°；Ⅱ区岩层走向移动角δ＝65°、上山移动角γ＝67°、下山移动角β＝49°；Ⅲ区岩层走向移动角δ＝45°、上山移动角γ＝45°、下山移动角β＝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评审备案目的</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建设项目压覆重要矿产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877"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评审备案</w:t>
            </w: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矿</w:t>
            </w:r>
            <w:r>
              <w:rPr>
                <w:rFonts w:hint="default" w:ascii="Times New Roman" w:hAnsi="Times New Roman" w:eastAsia="仿宋_GB2312" w:cs="Times New Roman"/>
                <w:color w:val="000000"/>
                <w:sz w:val="24"/>
                <w:szCs w:val="24"/>
                <w:lang w:eastAsia="zh-CN"/>
              </w:rPr>
              <w:t>种</w:t>
            </w:r>
            <w:r>
              <w:rPr>
                <w:rFonts w:hint="default" w:ascii="Times New Roman" w:hAnsi="Times New Roman" w:eastAsia="仿宋_GB2312" w:cs="Times New Roman"/>
                <w:color w:val="000000"/>
                <w:sz w:val="24"/>
                <w:szCs w:val="24"/>
              </w:rPr>
              <w:t>名称</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sz w:val="24"/>
                <w:szCs w:val="24"/>
                <w:lang w:val="en-US" w:eastAsia="zh-CN"/>
              </w:rPr>
            </w:pPr>
            <w:r>
              <w:rPr>
                <w:rFonts w:hint="eastAsia" w:eastAsia="仿宋_GB2312" w:cs="Times New Roman"/>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877"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评审备案资源储量</w:t>
            </w:r>
          </w:p>
        </w:tc>
        <w:tc>
          <w:tcPr>
            <w:tcW w:w="7882" w:type="dxa"/>
            <w:noWrap w:val="0"/>
            <w:vAlign w:val="center"/>
          </w:tcPr>
          <w:p>
            <w:pPr>
              <w:keepNext w:val="0"/>
              <w:keepLines w:val="0"/>
              <w:numPr>
                <w:ilvl w:val="0"/>
                <w:numId w:val="0"/>
              </w:numPr>
              <w:suppressLineNumbers w:val="0"/>
              <w:bidi w:val="0"/>
              <w:spacing w:before="0" w:beforeAutospacing="0" w:after="0" w:afterAutospacing="0"/>
              <w:ind w:left="0" w:right="0" w:rightChars="0" w:firstLine="720" w:firstLineChars="300"/>
              <w:jc w:val="left"/>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评审评定，拟建</w:t>
            </w:r>
            <w:r>
              <w:rPr>
                <w:rFonts w:hint="default" w:ascii="Times New Roman" w:hAnsi="Times New Roman" w:eastAsia="仿宋_GB2312" w:cs="Times New Roman"/>
                <w:color w:val="000000"/>
                <w:sz w:val="24"/>
                <w:szCs w:val="24"/>
              </w:rPr>
              <w:t>引大济岷工程建设项目</w:t>
            </w:r>
            <w:r>
              <w:rPr>
                <w:rFonts w:hint="eastAsia" w:eastAsia="仿宋_GB2312" w:cs="Times New Roman"/>
                <w:color w:val="000000"/>
                <w:sz w:val="24"/>
                <w:szCs w:val="24"/>
                <w:lang w:eastAsia="zh-CN"/>
              </w:rPr>
              <w:t>未</w:t>
            </w:r>
            <w:r>
              <w:rPr>
                <w:rFonts w:hint="eastAsia" w:ascii="Times New Roman" w:hAnsi="Times New Roman" w:eastAsia="仿宋_GB2312" w:cs="Times New Roman"/>
                <w:color w:val="000000"/>
                <w:sz w:val="24"/>
                <w:szCs w:val="24"/>
                <w:lang w:eastAsia="zh-CN"/>
              </w:rPr>
              <w:t>压覆已查明重要矿产资源</w:t>
            </w:r>
            <w:r>
              <w:rPr>
                <w:rFonts w:hint="eastAsia" w:eastAsia="仿宋_GB2312" w:cs="Times New Roman"/>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其他</w:t>
            </w:r>
          </w:p>
        </w:tc>
        <w:tc>
          <w:tcPr>
            <w:tcW w:w="7882" w:type="dxa"/>
            <w:noWrap w:val="0"/>
            <w:vAlign w:val="top"/>
          </w:tcPr>
          <w:p>
            <w:pPr>
              <w:keepNext w:val="0"/>
              <w:keepLines w:val="0"/>
              <w:suppressLineNumbers w:val="0"/>
              <w:bidi w:val="0"/>
              <w:spacing w:before="0" w:beforeAutospacing="0" w:after="0" w:afterAutospacing="0"/>
              <w:ind w:left="0" w:right="0" w:firstLine="480" w:firstLineChars="200"/>
              <w:rPr>
                <w:rFonts w:hint="default" w:ascii="Times New Roman" w:hAnsi="Times New Roman" w:eastAsia="仿宋_GB2312" w:cs="Times New Roman"/>
                <w:color w:val="000000"/>
                <w:kern w:val="2"/>
                <w:szCs w:val="24"/>
                <w:lang w:val="en-US" w:eastAsia="zh-CN" w:bidi="ar-SA"/>
              </w:rPr>
            </w:pPr>
            <w:r>
              <w:rPr>
                <w:rFonts w:hint="default" w:ascii="Times New Roman" w:hAnsi="Times New Roman" w:eastAsia="仿宋_GB2312" w:cs="Times New Roman"/>
                <w:color w:val="000000"/>
                <w:sz w:val="24"/>
                <w:szCs w:val="24"/>
              </w:rPr>
              <w:t>经调查核实，经调查核实，在拟建工程影响区范围内存在已查明重要矿产资源矿产地1个</w:t>
            </w:r>
            <w:r>
              <w:rPr>
                <w:rFonts w:hint="eastAsia" w:eastAsia="仿宋_GB2312" w:cs="Times New Roman"/>
                <w:color w:val="000000"/>
                <w:sz w:val="24"/>
                <w:szCs w:val="24"/>
                <w:lang w:eastAsia="zh-CN"/>
              </w:rPr>
              <w:t>（宝兴县灵关砂金矿区）</w:t>
            </w:r>
            <w:r>
              <w:rPr>
                <w:rFonts w:hint="default" w:ascii="Times New Roman" w:hAnsi="Times New Roman" w:eastAsia="仿宋_GB2312" w:cs="Times New Roman"/>
                <w:color w:val="000000"/>
                <w:sz w:val="24"/>
                <w:szCs w:val="24"/>
              </w:rPr>
              <w:t>、探矿权1宗</w:t>
            </w:r>
            <w:r>
              <w:rPr>
                <w:rFonts w:hint="eastAsia" w:eastAsia="仿宋_GB2312" w:cs="Times New Roman"/>
                <w:color w:val="000000"/>
                <w:sz w:val="24"/>
                <w:szCs w:val="24"/>
                <w:lang w:eastAsia="zh-CN"/>
              </w:rPr>
              <w:t>（四川省天全县昂州河地区铅锌铂矿勘探）</w:t>
            </w:r>
            <w:r>
              <w:rPr>
                <w:rFonts w:hint="default" w:ascii="Times New Roman" w:hAnsi="Times New Roman" w:eastAsia="仿宋_GB2312" w:cs="Times New Roman"/>
                <w:color w:val="000000"/>
                <w:sz w:val="24"/>
                <w:szCs w:val="24"/>
              </w:rPr>
              <w:t>、采矿权1宗</w:t>
            </w:r>
            <w:r>
              <w:rPr>
                <w:rFonts w:hint="eastAsia" w:eastAsia="仿宋_GB2312" w:cs="Times New Roman"/>
                <w:color w:val="000000"/>
                <w:sz w:val="24"/>
                <w:szCs w:val="24"/>
                <w:lang w:eastAsia="zh-CN"/>
              </w:rPr>
              <w:t>（四川鸿景实业有限公司都江堰市香颂湖医疗热矿水）</w:t>
            </w:r>
            <w:r>
              <w:rPr>
                <w:rFonts w:hint="default" w:ascii="Times New Roman" w:hAnsi="Times New Roman" w:eastAsia="仿宋_GB2312" w:cs="Times New Roman"/>
                <w:color w:val="000000"/>
                <w:sz w:val="24"/>
                <w:szCs w:val="24"/>
              </w:rPr>
              <w:t>。</w:t>
            </w:r>
          </w:p>
        </w:tc>
      </w:tr>
    </w:tbl>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55797"/>
    <w:rsid w:val="01242CC7"/>
    <w:rsid w:val="052C6F98"/>
    <w:rsid w:val="09952026"/>
    <w:rsid w:val="0B0C5C37"/>
    <w:rsid w:val="10736DF9"/>
    <w:rsid w:val="12C34231"/>
    <w:rsid w:val="1B8732E9"/>
    <w:rsid w:val="1D467FFF"/>
    <w:rsid w:val="2E747222"/>
    <w:rsid w:val="308402F0"/>
    <w:rsid w:val="310A06FD"/>
    <w:rsid w:val="32917387"/>
    <w:rsid w:val="3375D5DD"/>
    <w:rsid w:val="36172D8A"/>
    <w:rsid w:val="3AA93E77"/>
    <w:rsid w:val="3C07147C"/>
    <w:rsid w:val="3E13386B"/>
    <w:rsid w:val="41410ACB"/>
    <w:rsid w:val="42531B7C"/>
    <w:rsid w:val="429304E7"/>
    <w:rsid w:val="437E6621"/>
    <w:rsid w:val="462F5954"/>
    <w:rsid w:val="48C77C26"/>
    <w:rsid w:val="49991828"/>
    <w:rsid w:val="4C142777"/>
    <w:rsid w:val="4D970B37"/>
    <w:rsid w:val="4F912937"/>
    <w:rsid w:val="4FEA41EF"/>
    <w:rsid w:val="50573702"/>
    <w:rsid w:val="51156C2C"/>
    <w:rsid w:val="53F430D0"/>
    <w:rsid w:val="5483718F"/>
    <w:rsid w:val="55FE59C1"/>
    <w:rsid w:val="56680AAE"/>
    <w:rsid w:val="58D24D40"/>
    <w:rsid w:val="59770E83"/>
    <w:rsid w:val="5B6106CD"/>
    <w:rsid w:val="5E200B57"/>
    <w:rsid w:val="62FA7748"/>
    <w:rsid w:val="655667A0"/>
    <w:rsid w:val="67AD6EC0"/>
    <w:rsid w:val="67F76100"/>
    <w:rsid w:val="67FA5203"/>
    <w:rsid w:val="6E1626E6"/>
    <w:rsid w:val="70555797"/>
    <w:rsid w:val="70897467"/>
    <w:rsid w:val="72730010"/>
    <w:rsid w:val="73AF3A03"/>
    <w:rsid w:val="743E4454"/>
    <w:rsid w:val="75F21F62"/>
    <w:rsid w:val="76604EA1"/>
    <w:rsid w:val="7C1975BB"/>
    <w:rsid w:val="7EBE43BD"/>
    <w:rsid w:val="BDEE0C0D"/>
    <w:rsid w:val="BFF5E490"/>
    <w:rsid w:val="DAD68324"/>
    <w:rsid w:val="EFB393F1"/>
    <w:rsid w:val="FF7AF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宋体" w:hAnsi="宋体" w:eastAsia="宋体" w:cs="宋体"/>
      <w:kern w:val="2"/>
      <w:sz w:val="28"/>
      <w:szCs w:val="28"/>
      <w:lang w:val="en-US" w:eastAsia="zh-CN" w:bidi="ar"/>
    </w:rPr>
  </w:style>
  <w:style w:type="paragraph" w:styleId="3">
    <w:name w:val="Body Text Indent"/>
    <w:basedOn w:val="1"/>
    <w:qFormat/>
    <w:uiPriority w:val="0"/>
    <w:pPr>
      <w:ind w:firstLine="538" w:firstLineChars="192"/>
    </w:pPr>
    <w:rPr>
      <w:rFonts w:ascii="宋体" w:hAnsi="宋体"/>
      <w:sz w:val="2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fontstyle01"/>
    <w:qFormat/>
    <w:uiPriority w:val="0"/>
    <w:rPr>
      <w:rFonts w:hint="eastAsia" w:ascii="仿宋_GB2312" w:eastAsia="仿宋_GB2312"/>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2022-01-19T09:14:00Z</dcterms:created>
  <dc:creator>雁过留声</dc:creator>
  <cp:lastModifiedBy>洋杨阳</cp:lastModifiedBy>
  <cp:lastPrinted>2022-03-18T00:27:00Z</cp:lastPrinted>
  <dcterms:modified xsi:type="dcterms:W3CDTF">2022-05-31T13:44:43Z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