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outlineLvl w:val="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pPr>
      <w:r>
        <w:rPr>
          <w:rFonts w:hint="eastAsia" w:ascii="方正小标宋简体" w:hAnsi="方正小标宋简体" w:eastAsia="方正小标宋简体" w:cs="方正小标宋简体"/>
          <w:color w:val="000000"/>
          <w:sz w:val="36"/>
          <w:szCs w:val="36"/>
        </w:rPr>
        <w:t>《白鹤滩送端换流站配套建昌换流站至叙府500千伏输变电工程压覆已查明重要矿产资源评估报告》矿产资源储量评审备案公示信息表</w:t>
      </w:r>
    </w:p>
    <w:tbl>
      <w:tblPr>
        <w:tblStyle w:val="5"/>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7"/>
        <w:gridCol w:w="7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申请人</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国网四川省电力公司建设分公司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报告名称</w:t>
            </w:r>
          </w:p>
        </w:tc>
        <w:tc>
          <w:tcPr>
            <w:tcW w:w="7882" w:type="dxa"/>
            <w:noWrap w:val="0"/>
            <w:vAlign w:val="center"/>
          </w:tcPr>
          <w:p>
            <w:pPr>
              <w:pStyle w:val="4"/>
              <w:keepNext w:val="0"/>
              <w:keepLines w:val="0"/>
              <w:widowControl/>
              <w:suppressLineNumbers w:val="0"/>
              <w:spacing w:before="0" w:beforeAutospacing="0" w:after="0" w:afterAutospacing="0" w:line="330" w:lineRule="atLeast"/>
              <w:ind w:left="0" w:right="0" w:firstLine="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《白鹤滩送端换流站配套建昌换流站至叙府500千伏输变电工程压覆已查明重要矿产资源评估报告》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报告编制单位</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2"/>
                <w:sz w:val="24"/>
                <w:szCs w:val="24"/>
                <w:lang w:val="en-US" w:eastAsia="zh-CN" w:bidi="ar-SA"/>
              </w:rPr>
              <w:t xml:space="preserve"> 四川省地质矿产勘查开发局物探队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主要编写人员</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2"/>
                <w:sz w:val="24"/>
                <w:szCs w:val="24"/>
                <w:lang w:val="en-US" w:eastAsia="zh-CN" w:bidi="ar-SA"/>
              </w:rPr>
              <w:t>冯爽</w:t>
            </w:r>
            <w:r>
              <w:rPr>
                <w:rFonts w:hint="eastAsia" w:eastAsia="仿宋_GB2312" w:cs="Times New Roman"/>
                <w:color w:val="000000"/>
                <w:kern w:val="2"/>
                <w:sz w:val="24"/>
                <w:szCs w:val="24"/>
                <w:lang w:val="en-US" w:eastAsia="zh-CN" w:bidi="ar-SA"/>
              </w:rPr>
              <w:t>、李旭、黄波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矿业权证号</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矿业权人名称</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评审机构</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四川省矿产资源储量评审中心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评审专家</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color w:val="000000"/>
                <w:sz w:val="24"/>
                <w:szCs w:val="24"/>
                <w:lang w:val="en-US" w:eastAsia="zh-CN"/>
              </w:rPr>
            </w:pPr>
            <w:r>
              <w:rPr>
                <w:rFonts w:hint="eastAsia" w:eastAsia="仿宋_GB2312" w:cs="Times New Roman"/>
                <w:color w:val="000000"/>
                <w:sz w:val="24"/>
                <w:szCs w:val="24"/>
                <w:highlight w:val="none"/>
                <w:lang w:val="en-US" w:eastAsia="zh-CN"/>
              </w:rPr>
              <w:t>雷爵能、</w:t>
            </w:r>
            <w:r>
              <w:rPr>
                <w:rFonts w:hint="eastAsia" w:eastAsia="仿宋_GB2312" w:cs="Times New Roman"/>
                <w:color w:val="000000"/>
                <w:sz w:val="24"/>
                <w:szCs w:val="24"/>
                <w:lang w:val="en-US" w:eastAsia="zh-CN"/>
              </w:rPr>
              <w:t xml:space="preserve">杨俊伟、王林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本次采用工业指标</w:t>
            </w:r>
            <w:r>
              <w:rPr>
                <w:rFonts w:hint="eastAsia" w:eastAsia="仿宋_GB2312" w:cs="Times New Roman"/>
                <w:color w:val="000000"/>
                <w:sz w:val="24"/>
                <w:szCs w:val="24"/>
                <w:lang w:val="en-US" w:eastAsia="zh-CN"/>
              </w:rPr>
              <w:t>/工程压覆影响范围</w:t>
            </w:r>
          </w:p>
        </w:tc>
        <w:tc>
          <w:tcPr>
            <w:tcW w:w="7882" w:type="dxa"/>
            <w:noWrap w:val="0"/>
            <w:vAlign w:val="center"/>
          </w:tcPr>
          <w:p>
            <w:pPr>
              <w:keepNext w:val="0"/>
              <w:keepLines w:val="0"/>
              <w:suppressLineNumbers w:val="0"/>
              <w:spacing w:before="0" w:beforeAutospacing="0" w:after="0" w:afterAutospacing="0" w:line="240" w:lineRule="auto"/>
              <w:ind w:left="0" w:right="0" w:firstLine="480" w:firstLineChars="200"/>
              <w:jc w:val="left"/>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工程压覆影响范围经具有相应工程设计资质的单位论证并经建设单位确认。工程平面影响范围为：变电站及塔基用地范围外推20m；影响深度为布拖昭觉段330m，莫红磷矿段290m，坪头磷矿段310m，牛牛寨南磷矿段360m，毛坝子磷矿段310m，宜宾段300m；岩石移动角参数：布拖昭觉段：走向移动角δ=70°、上山移动角γ=70°、下山移动角β=58°，莫红磷矿、坪头磷矿、牛牛寨南磷矿及毛坝子磷矿：走向移动角δ=75°、上山移动角γ=75°、下山移动角β=55°，宜宾段：走向移动角δ=70°、上山移动角γ=70°、下山移动角β=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评审备案目的</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建设项目压覆重要矿产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877"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评审备案</w:t>
            </w:r>
          </w:p>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矿</w:t>
            </w:r>
            <w:r>
              <w:rPr>
                <w:rFonts w:hint="default" w:ascii="Times New Roman" w:hAnsi="Times New Roman" w:eastAsia="仿宋_GB2312" w:cs="Times New Roman"/>
                <w:color w:val="000000"/>
                <w:sz w:val="24"/>
                <w:szCs w:val="24"/>
                <w:lang w:eastAsia="zh-CN"/>
              </w:rPr>
              <w:t>种</w:t>
            </w:r>
            <w:r>
              <w:rPr>
                <w:rFonts w:hint="default" w:ascii="Times New Roman" w:hAnsi="Times New Roman" w:eastAsia="仿宋_GB2312" w:cs="Times New Roman"/>
                <w:color w:val="000000"/>
                <w:sz w:val="24"/>
                <w:szCs w:val="24"/>
              </w:rPr>
              <w:t>名称</w:t>
            </w:r>
          </w:p>
        </w:tc>
        <w:tc>
          <w:tcPr>
            <w:tcW w:w="7882" w:type="dxa"/>
            <w:noWrap w:val="0"/>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color w:val="000000"/>
                <w:sz w:val="24"/>
                <w:szCs w:val="24"/>
                <w:lang w:val="en-US" w:eastAsia="zh-CN"/>
              </w:rPr>
            </w:pPr>
            <w:r>
              <w:rPr>
                <w:rFonts w:hint="eastAsia" w:eastAsia="仿宋_GB2312" w:cs="Times New Roman"/>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877"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评审备案资源储量</w:t>
            </w:r>
          </w:p>
        </w:tc>
        <w:tc>
          <w:tcPr>
            <w:tcW w:w="7882" w:type="dxa"/>
            <w:noWrap w:val="0"/>
            <w:vAlign w:val="center"/>
          </w:tcPr>
          <w:p>
            <w:pPr>
              <w:keepNext w:val="0"/>
              <w:keepLines w:val="0"/>
              <w:numPr>
                <w:numId w:val="0"/>
              </w:numPr>
              <w:suppressLineNumbers w:val="0"/>
              <w:bidi w:val="0"/>
              <w:spacing w:before="0" w:beforeAutospacing="0" w:after="0" w:afterAutospacing="0"/>
              <w:ind w:right="0" w:rightChars="0" w:firstLine="480" w:firstLineChars="200"/>
              <w:jc w:val="left"/>
              <w:rPr>
                <w:rFonts w:hint="eastAsia" w:ascii="Times New Roman" w:hAnsi="Times New Roman" w:eastAsia="仿宋_GB2312" w:cs="Times New Roman"/>
                <w:color w:val="000000"/>
                <w:sz w:val="24"/>
                <w:szCs w:val="24"/>
                <w:lang w:eastAsia="zh-CN"/>
              </w:rPr>
            </w:pPr>
            <w:bookmarkStart w:id="0" w:name="_GoBack"/>
            <w:bookmarkEnd w:id="0"/>
            <w:r>
              <w:rPr>
                <w:rFonts w:hint="eastAsia" w:ascii="Times New Roman" w:hAnsi="Times New Roman" w:eastAsia="仿宋_GB2312" w:cs="Times New Roman"/>
                <w:color w:val="000000"/>
                <w:sz w:val="24"/>
                <w:szCs w:val="24"/>
                <w:lang w:eastAsia="zh-CN"/>
              </w:rPr>
              <w:t>评审评定，拟建</w:t>
            </w:r>
            <w:r>
              <w:rPr>
                <w:rFonts w:hint="default" w:ascii="Times New Roman" w:hAnsi="Times New Roman" w:eastAsia="仿宋_GB2312" w:cs="Times New Roman"/>
                <w:color w:val="000000"/>
                <w:kern w:val="2"/>
                <w:sz w:val="24"/>
                <w:szCs w:val="24"/>
                <w:lang w:val="en-US" w:eastAsia="zh-CN" w:bidi="ar-SA"/>
              </w:rPr>
              <w:t>白鹤滩送端换流站配套建昌换流站至叙府500千伏输变电工程</w:t>
            </w:r>
            <w:r>
              <w:rPr>
                <w:rFonts w:hint="eastAsia" w:eastAsia="仿宋_GB2312" w:cs="Times New Roman"/>
                <w:color w:val="000000"/>
                <w:kern w:val="2"/>
                <w:sz w:val="24"/>
                <w:szCs w:val="24"/>
                <w:lang w:val="en-US" w:eastAsia="zh-CN" w:bidi="ar-SA"/>
              </w:rPr>
              <w:t>未</w:t>
            </w:r>
            <w:r>
              <w:rPr>
                <w:rFonts w:hint="eastAsia" w:ascii="Times New Roman" w:hAnsi="Times New Roman" w:eastAsia="仿宋_GB2312" w:cs="Times New Roman"/>
                <w:color w:val="000000"/>
                <w:sz w:val="24"/>
                <w:szCs w:val="24"/>
                <w:lang w:eastAsia="zh-CN"/>
              </w:rPr>
              <w:t>压覆已查明重要矿产资源</w:t>
            </w:r>
            <w:r>
              <w:rPr>
                <w:rFonts w:hint="eastAsia" w:eastAsia="仿宋_GB2312" w:cs="Times New Roman"/>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187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其他</w:t>
            </w:r>
          </w:p>
        </w:tc>
        <w:tc>
          <w:tcPr>
            <w:tcW w:w="7882" w:type="dxa"/>
            <w:noWrap w:val="0"/>
            <w:vAlign w:val="top"/>
          </w:tcPr>
          <w:p>
            <w:pPr>
              <w:keepNext w:val="0"/>
              <w:keepLines w:val="0"/>
              <w:suppressLineNumbers w:val="0"/>
              <w:bidi w:val="0"/>
              <w:spacing w:before="0" w:beforeAutospacing="0" w:after="0" w:afterAutospacing="0"/>
              <w:ind w:left="0" w:right="0" w:firstLine="420" w:firstLineChars="200"/>
              <w:rPr>
                <w:rFonts w:hint="default" w:ascii="Times New Roman" w:hAnsi="Times New Roman" w:eastAsia="仿宋_GB2312" w:cs="Times New Roman"/>
                <w:color w:val="000000"/>
                <w:kern w:val="2"/>
                <w:szCs w:val="24"/>
                <w:lang w:val="en-US" w:eastAsia="zh-CN" w:bidi="ar-SA"/>
              </w:rPr>
            </w:pPr>
            <w:r>
              <w:rPr>
                <w:rFonts w:hint="default" w:ascii="Times New Roman" w:hAnsi="Times New Roman" w:eastAsia="仿宋_GB2312" w:cs="Times New Roman"/>
                <w:color w:val="000000"/>
                <w:kern w:val="2"/>
                <w:szCs w:val="24"/>
                <w:lang w:val="en-US" w:eastAsia="zh-CN" w:bidi="ar-SA"/>
              </w:rPr>
              <w:t>经调查核实，在拟建工程影响区范围内存在2处已查明重要矿产资源的矿产地、5个探矿权和3个采矿权。</w:t>
            </w:r>
            <w:r>
              <w:rPr>
                <w:rFonts w:hint="eastAsia" w:eastAsia="仿宋_GB2312" w:cs="Times New Roman"/>
                <w:color w:val="000000"/>
                <w:kern w:val="2"/>
                <w:szCs w:val="24"/>
                <w:lang w:val="en-US" w:eastAsia="zh-CN" w:bidi="ar-SA"/>
              </w:rPr>
              <w:t>其中：</w:t>
            </w:r>
            <w:r>
              <w:rPr>
                <w:rFonts w:hint="default" w:ascii="Times New Roman" w:hAnsi="Times New Roman" w:eastAsia="仿宋_GB2312" w:cs="Times New Roman"/>
                <w:color w:val="000000"/>
                <w:kern w:val="2"/>
                <w:szCs w:val="24"/>
                <w:lang w:val="en-US" w:eastAsia="zh-CN" w:bidi="ar-SA"/>
              </w:rPr>
              <w:t>四川省雷波县莫红磷矿延伸勘探（T5100002012056050046275）与四川省雷波县莫红磷矿延伸详查（T51520120503046275）实为同一勘查项目，四川省布拖县瓦都乡布起布铜矿勘探（T5100002009113030035969）与四川省布拖县瓦都乡布起布铜矿勘探（T51320091102035969）实为同一勘查项目，四川省雷波县毛坝子磷矿（地勘基金项目）普查与地勘基金项目中四川省雷波县毛坝子磷矿普查实为同一勘查项目。</w:t>
            </w:r>
          </w:p>
        </w:tc>
      </w:tr>
    </w:tbl>
    <w:p>
      <w:pPr>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555797"/>
    <w:rsid w:val="01242CC7"/>
    <w:rsid w:val="052C6F98"/>
    <w:rsid w:val="08E25683"/>
    <w:rsid w:val="09952026"/>
    <w:rsid w:val="0B0C5C37"/>
    <w:rsid w:val="10736DF9"/>
    <w:rsid w:val="12C34231"/>
    <w:rsid w:val="1B8732E9"/>
    <w:rsid w:val="1D467FFF"/>
    <w:rsid w:val="2E747222"/>
    <w:rsid w:val="308402F0"/>
    <w:rsid w:val="310A06FD"/>
    <w:rsid w:val="32917387"/>
    <w:rsid w:val="3375D5DD"/>
    <w:rsid w:val="36172D8A"/>
    <w:rsid w:val="3AA93E77"/>
    <w:rsid w:val="3C07147C"/>
    <w:rsid w:val="3E13386B"/>
    <w:rsid w:val="41410ACB"/>
    <w:rsid w:val="42531B7C"/>
    <w:rsid w:val="429304E7"/>
    <w:rsid w:val="437E6621"/>
    <w:rsid w:val="462F5954"/>
    <w:rsid w:val="48C77C26"/>
    <w:rsid w:val="49991828"/>
    <w:rsid w:val="4C142777"/>
    <w:rsid w:val="4D970B37"/>
    <w:rsid w:val="4E654C4F"/>
    <w:rsid w:val="4F912937"/>
    <w:rsid w:val="4FEA41EF"/>
    <w:rsid w:val="50573702"/>
    <w:rsid w:val="51156C2C"/>
    <w:rsid w:val="53F430D0"/>
    <w:rsid w:val="5483718F"/>
    <w:rsid w:val="55FE59C1"/>
    <w:rsid w:val="56680AAE"/>
    <w:rsid w:val="58D24D40"/>
    <w:rsid w:val="59770E83"/>
    <w:rsid w:val="5B6106CD"/>
    <w:rsid w:val="5E200B57"/>
    <w:rsid w:val="62FA7748"/>
    <w:rsid w:val="655667A0"/>
    <w:rsid w:val="67AD6EC0"/>
    <w:rsid w:val="67F76100"/>
    <w:rsid w:val="67FA5203"/>
    <w:rsid w:val="6DE924AA"/>
    <w:rsid w:val="6E1626E6"/>
    <w:rsid w:val="70555797"/>
    <w:rsid w:val="70897467"/>
    <w:rsid w:val="72730010"/>
    <w:rsid w:val="73AF3A03"/>
    <w:rsid w:val="743E4454"/>
    <w:rsid w:val="75F21F62"/>
    <w:rsid w:val="76604EA1"/>
    <w:rsid w:val="7C1975BB"/>
    <w:rsid w:val="7EBE43BD"/>
    <w:rsid w:val="BBBBB297"/>
    <w:rsid w:val="BDEE0C0D"/>
    <w:rsid w:val="BFF5E490"/>
    <w:rsid w:val="C69F8F9B"/>
    <w:rsid w:val="FF7AF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qFormat/>
    <w:uiPriority w:val="0"/>
    <w:pPr>
      <w:keepNext w:val="0"/>
      <w:keepLines w:val="0"/>
      <w:widowControl w:val="0"/>
      <w:suppressLineNumbers w:val="0"/>
      <w:spacing w:before="0" w:beforeAutospacing="0" w:after="0" w:afterAutospacing="0"/>
      <w:ind w:left="0" w:right="0" w:firstLine="420" w:firstLineChars="200"/>
      <w:jc w:val="both"/>
    </w:pPr>
    <w:rPr>
      <w:rFonts w:hint="eastAsia" w:ascii="宋体" w:hAnsi="宋体" w:eastAsia="宋体" w:cs="宋体"/>
      <w:kern w:val="2"/>
      <w:sz w:val="28"/>
      <w:szCs w:val="28"/>
      <w:lang w:val="en-US" w:eastAsia="zh-CN" w:bidi="ar"/>
    </w:rPr>
  </w:style>
  <w:style w:type="paragraph" w:styleId="3">
    <w:name w:val="Body Text Indent"/>
    <w:basedOn w:val="1"/>
    <w:qFormat/>
    <w:uiPriority w:val="0"/>
    <w:pPr>
      <w:ind w:firstLine="538" w:firstLineChars="192"/>
    </w:pPr>
    <w:rPr>
      <w:rFonts w:ascii="宋体" w:hAnsi="宋体"/>
      <w:sz w:val="2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fontstyle01"/>
    <w:qFormat/>
    <w:uiPriority w:val="0"/>
    <w:rPr>
      <w:rFonts w:hint="eastAsia" w:ascii="仿宋_GB2312" w:eastAsia="仿宋_GB2312"/>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2022-01-19T09:14:00Z</dcterms:created>
  <dc:creator>雁过留声</dc:creator>
  <cp:lastModifiedBy>user</cp:lastModifiedBy>
  <cp:lastPrinted>2022-03-18T00:27:00Z</cp:lastPrinted>
  <dcterms:modified xsi:type="dcterms:W3CDTF">2022-06-24T16:09:17Z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