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outlineLvl w:val="0"/>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sz w:val="20"/>
          <w:szCs w:val="21"/>
        </w:rPr>
      </w:pPr>
      <w:r>
        <w:rPr>
          <w:rFonts w:hint="eastAsia" w:ascii="方正小标宋简体" w:hAnsi="方正小标宋简体" w:eastAsia="方正小标宋简体" w:cs="方正小标宋简体"/>
          <w:color w:val="000000"/>
          <w:sz w:val="32"/>
          <w:szCs w:val="32"/>
        </w:rPr>
        <w:t>《成都至汶川高速公路成都至彭州段压覆已查明重要矿产资源评估报告》矿产资源储量评审备案公示信息表</w:t>
      </w:r>
    </w:p>
    <w:tbl>
      <w:tblPr>
        <w:tblStyle w:val="5"/>
        <w:tblW w:w="97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7"/>
        <w:gridCol w:w="7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exact"/>
          <w:jc w:val="center"/>
        </w:trPr>
        <w:tc>
          <w:tcPr>
            <w:tcW w:w="1877"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_GB2312" w:hAnsi="仿宋_GB2312" w:eastAsia="仿宋_GB2312" w:cs="仿宋_GB2312"/>
                <w:color w:val="000000"/>
                <w:sz w:val="21"/>
                <w:szCs w:val="21"/>
              </w:rPr>
            </w:pPr>
            <w:bookmarkStart w:id="0" w:name="_GoBack" w:colFirst="0" w:colLast="1"/>
            <w:r>
              <w:rPr>
                <w:rFonts w:hint="eastAsia" w:ascii="仿宋_GB2312" w:hAnsi="仿宋_GB2312" w:eastAsia="仿宋_GB2312" w:cs="仿宋_GB2312"/>
                <w:color w:val="000000"/>
                <w:sz w:val="21"/>
                <w:szCs w:val="21"/>
              </w:rPr>
              <w:t>申请人</w:t>
            </w:r>
          </w:p>
        </w:tc>
        <w:tc>
          <w:tcPr>
            <w:tcW w:w="7882"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val="en-US" w:eastAsia="zh-CN"/>
              </w:rPr>
              <w:t xml:space="preserve">成都市交通运输局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exact"/>
          <w:jc w:val="center"/>
        </w:trPr>
        <w:tc>
          <w:tcPr>
            <w:tcW w:w="1877"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报告名称</w:t>
            </w:r>
          </w:p>
        </w:tc>
        <w:tc>
          <w:tcPr>
            <w:tcW w:w="7882" w:type="dxa"/>
            <w:noWrap w:val="0"/>
            <w:vAlign w:val="center"/>
          </w:tcPr>
          <w:p>
            <w:pPr>
              <w:pStyle w:val="4"/>
              <w:keepNext w:val="0"/>
              <w:keepLines w:val="0"/>
              <w:widowControl/>
              <w:suppressLineNumbers w:val="0"/>
              <w:spacing w:before="0" w:beforeAutospacing="0" w:after="0" w:afterAutospacing="0" w:line="330" w:lineRule="atLeast"/>
              <w:ind w:left="0" w:right="0" w:firstLine="0"/>
              <w:jc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《成都至汶川高速公路成都至彭州段压覆已查明重要矿产资源评估报告》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exact"/>
          <w:jc w:val="center"/>
        </w:trPr>
        <w:tc>
          <w:tcPr>
            <w:tcW w:w="1877"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报告编制单位</w:t>
            </w:r>
          </w:p>
        </w:tc>
        <w:tc>
          <w:tcPr>
            <w:tcW w:w="7882"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 xml:space="preserve">四川省地质矿产勘查开发局一0一地质队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exact"/>
          <w:jc w:val="center"/>
        </w:trPr>
        <w:tc>
          <w:tcPr>
            <w:tcW w:w="1877"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主要编写人员</w:t>
            </w:r>
          </w:p>
        </w:tc>
        <w:tc>
          <w:tcPr>
            <w:tcW w:w="7882"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 xml:space="preserve">杨  洋、马思秀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exact"/>
          <w:jc w:val="center"/>
        </w:trPr>
        <w:tc>
          <w:tcPr>
            <w:tcW w:w="1877"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矿业权证号</w:t>
            </w:r>
          </w:p>
        </w:tc>
        <w:tc>
          <w:tcPr>
            <w:tcW w:w="7882"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jc w:val="center"/>
        </w:trPr>
        <w:tc>
          <w:tcPr>
            <w:tcW w:w="1877"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矿业权人名称</w:t>
            </w:r>
          </w:p>
        </w:tc>
        <w:tc>
          <w:tcPr>
            <w:tcW w:w="7882"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exact"/>
          <w:jc w:val="center"/>
        </w:trPr>
        <w:tc>
          <w:tcPr>
            <w:tcW w:w="1877"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评审机构</w:t>
            </w:r>
          </w:p>
        </w:tc>
        <w:tc>
          <w:tcPr>
            <w:tcW w:w="7882"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四川省矿产资源储量评审中心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exact"/>
          <w:jc w:val="center"/>
        </w:trPr>
        <w:tc>
          <w:tcPr>
            <w:tcW w:w="1877"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评审专家</w:t>
            </w:r>
          </w:p>
        </w:tc>
        <w:tc>
          <w:tcPr>
            <w:tcW w:w="7882"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 xml:space="preserve">赖贤友、李永建、孙铁钢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8" w:hRule="atLeast"/>
          <w:jc w:val="center"/>
        </w:trPr>
        <w:tc>
          <w:tcPr>
            <w:tcW w:w="1877"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本次采用工业指标</w:t>
            </w:r>
            <w:r>
              <w:rPr>
                <w:rFonts w:hint="eastAsia" w:ascii="仿宋_GB2312" w:hAnsi="仿宋_GB2312" w:eastAsia="仿宋_GB2312" w:cs="仿宋_GB2312"/>
                <w:color w:val="000000"/>
                <w:sz w:val="21"/>
                <w:szCs w:val="21"/>
                <w:lang w:val="en-US" w:eastAsia="zh-CN"/>
              </w:rPr>
              <w:t>/工程压覆影响范围</w:t>
            </w:r>
          </w:p>
        </w:tc>
        <w:tc>
          <w:tcPr>
            <w:tcW w:w="7882" w:type="dxa"/>
            <w:noWrap w:val="0"/>
            <w:vAlign w:val="center"/>
          </w:tcPr>
          <w:p>
            <w:pPr>
              <w:keepNext w:val="0"/>
              <w:keepLines w:val="0"/>
              <w:suppressLineNumbers w:val="0"/>
              <w:spacing w:before="0" w:beforeAutospacing="0" w:after="0" w:afterAutospacing="0" w:line="240" w:lineRule="auto"/>
              <w:ind w:left="0" w:right="0" w:firstLine="420" w:firstLineChars="200"/>
              <w:jc w:val="left"/>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 xml:space="preserve"> 工程压覆影响范围经具有相应工程设计资质的单位论证并经建设单位确认。工程平面影响范围：拟建线路路基段和隧道段中心线外推140m，中大型桥梁段和互通段中心线外推240m，特大型桥梁段中心线外推270m。影响深度：路基段、隧道段以路面设计标高以下300m，隧道顶面标高以上100m；中型及以上桥梁和互通段为桥（路）基向下300m与移动角交线后，再向下为无限深。岩石移动角参数：走向移动角δ=69°，上山移动角γ=69°，下山移动角β=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877"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评审备案目的</w:t>
            </w:r>
          </w:p>
        </w:tc>
        <w:tc>
          <w:tcPr>
            <w:tcW w:w="7882"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建设项目压覆重要矿产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877"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评审备案</w:t>
            </w:r>
          </w:p>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矿</w:t>
            </w:r>
            <w:r>
              <w:rPr>
                <w:rFonts w:hint="eastAsia" w:ascii="仿宋_GB2312" w:hAnsi="仿宋_GB2312" w:eastAsia="仿宋_GB2312" w:cs="仿宋_GB2312"/>
                <w:color w:val="000000"/>
                <w:sz w:val="21"/>
                <w:szCs w:val="21"/>
                <w:lang w:eastAsia="zh-CN"/>
              </w:rPr>
              <w:t>种</w:t>
            </w:r>
            <w:r>
              <w:rPr>
                <w:rFonts w:hint="eastAsia" w:ascii="仿宋_GB2312" w:hAnsi="仿宋_GB2312" w:eastAsia="仿宋_GB2312" w:cs="仿宋_GB2312"/>
                <w:color w:val="000000"/>
                <w:sz w:val="21"/>
                <w:szCs w:val="21"/>
              </w:rPr>
              <w:t>名称</w:t>
            </w:r>
          </w:p>
        </w:tc>
        <w:tc>
          <w:tcPr>
            <w:tcW w:w="7882"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1877"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评审备案资源储量</w:t>
            </w:r>
          </w:p>
        </w:tc>
        <w:tc>
          <w:tcPr>
            <w:tcW w:w="7882" w:type="dxa"/>
            <w:noWrap w:val="0"/>
            <w:vAlign w:val="center"/>
          </w:tcPr>
          <w:p>
            <w:pPr>
              <w:keepNext w:val="0"/>
              <w:keepLines w:val="0"/>
              <w:numPr>
                <w:ilvl w:val="0"/>
                <w:numId w:val="0"/>
              </w:numPr>
              <w:suppressLineNumbers w:val="0"/>
              <w:bidi w:val="0"/>
              <w:spacing w:before="0" w:beforeAutospacing="0" w:after="0" w:afterAutospacing="0"/>
              <w:ind w:left="840" w:leftChars="0" w:right="0" w:rightChars="0"/>
              <w:jc w:val="left"/>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评审评定，成都至汶川高速公路成都至彭州段压覆资源量为：</w:t>
            </w:r>
          </w:p>
          <w:p>
            <w:pPr>
              <w:keepNext w:val="0"/>
              <w:keepLines w:val="0"/>
              <w:numPr>
                <w:ilvl w:val="0"/>
                <w:numId w:val="1"/>
              </w:numPr>
              <w:suppressLineNumbers w:val="0"/>
              <w:bidi w:val="0"/>
              <w:spacing w:before="0" w:beforeAutospacing="0" w:after="0" w:afterAutospacing="0"/>
              <w:ind w:left="360" w:leftChars="0" w:right="0" w:firstLine="480" w:firstLineChars="0"/>
              <w:jc w:val="left"/>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彭州市白马庙井田煤炭控制资源量117.5万吨，推断资源量64.7万吨，合计182.2万吨。</w:t>
            </w:r>
          </w:p>
          <w:p>
            <w:pPr>
              <w:keepNext w:val="0"/>
              <w:keepLines w:val="0"/>
              <w:numPr>
                <w:ilvl w:val="0"/>
                <w:numId w:val="1"/>
              </w:numPr>
              <w:suppressLineNumbers w:val="0"/>
              <w:bidi w:val="0"/>
              <w:spacing w:before="0" w:beforeAutospacing="0" w:after="0" w:afterAutospacing="0"/>
              <w:ind w:left="360" w:leftChars="0" w:right="0" w:firstLine="480" w:firstLineChars="0"/>
              <w:jc w:val="lef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val="en-US" w:eastAsia="zh-CN"/>
              </w:rPr>
              <w:t xml:space="preserve">彭州市白马庙井田内已关闭彭州市磁峰镇蟠龙村煤矿煤炭推断资源量2.1万吨。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jc w:val="center"/>
        </w:trPr>
        <w:tc>
          <w:tcPr>
            <w:tcW w:w="1877"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其他</w:t>
            </w:r>
          </w:p>
        </w:tc>
        <w:tc>
          <w:tcPr>
            <w:tcW w:w="7882" w:type="dxa"/>
            <w:noWrap w:val="0"/>
            <w:vAlign w:val="top"/>
          </w:tcPr>
          <w:p>
            <w:pPr>
              <w:keepNext w:val="0"/>
              <w:keepLines w:val="0"/>
              <w:suppressLineNumbers w:val="0"/>
              <w:bidi w:val="0"/>
              <w:spacing w:before="0" w:beforeAutospacing="0" w:after="0" w:afterAutospacing="0"/>
              <w:ind w:left="0" w:right="0" w:firstLine="420" w:firstLineChars="200"/>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 xml:space="preserve"> 经调查核实，在拟建工程影响区范围内存在已查明重要矿产资源的矿产地3处（彭州市白马庙井田、彭州市老君山井田、都江堰市向峨井）、已设探矿权1宗(四川省彭州市通济镇、小鱼洞镇地热普查)。</w:t>
            </w:r>
          </w:p>
        </w:tc>
      </w:tr>
      <w:bookmarkEnd w:id="0"/>
    </w:tbl>
    <w:p>
      <w:pPr>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B6BBF5"/>
    <w:multiLevelType w:val="singleLevel"/>
    <w:tmpl w:val="BFB6BBF5"/>
    <w:lvl w:ilvl="0" w:tentative="0">
      <w:start w:val="1"/>
      <w:numFmt w:val="decimal"/>
      <w:suff w:val="nothing"/>
      <w:lvlText w:val="（%1）"/>
      <w:lvlJc w:val="left"/>
      <w:pPr>
        <w:ind w:left="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555797"/>
    <w:rsid w:val="01242CC7"/>
    <w:rsid w:val="052C6F98"/>
    <w:rsid w:val="08E25683"/>
    <w:rsid w:val="09952026"/>
    <w:rsid w:val="0B0C5C37"/>
    <w:rsid w:val="10736DF9"/>
    <w:rsid w:val="12C34231"/>
    <w:rsid w:val="1B8732E9"/>
    <w:rsid w:val="1D467FFF"/>
    <w:rsid w:val="2CD5384D"/>
    <w:rsid w:val="2E747222"/>
    <w:rsid w:val="308402F0"/>
    <w:rsid w:val="310A06FD"/>
    <w:rsid w:val="327A3119"/>
    <w:rsid w:val="32917387"/>
    <w:rsid w:val="3375D5DD"/>
    <w:rsid w:val="36172D8A"/>
    <w:rsid w:val="3AA93E77"/>
    <w:rsid w:val="3C07147C"/>
    <w:rsid w:val="3E13386B"/>
    <w:rsid w:val="3FA4458D"/>
    <w:rsid w:val="41410ACB"/>
    <w:rsid w:val="42531B7C"/>
    <w:rsid w:val="429304E7"/>
    <w:rsid w:val="437E6621"/>
    <w:rsid w:val="462F5954"/>
    <w:rsid w:val="48C77C26"/>
    <w:rsid w:val="49991828"/>
    <w:rsid w:val="4C142777"/>
    <w:rsid w:val="4D970B37"/>
    <w:rsid w:val="4F912937"/>
    <w:rsid w:val="4FEA41EF"/>
    <w:rsid w:val="50573702"/>
    <w:rsid w:val="51156C2C"/>
    <w:rsid w:val="53F430D0"/>
    <w:rsid w:val="5483718F"/>
    <w:rsid w:val="55FE59C1"/>
    <w:rsid w:val="56680AAE"/>
    <w:rsid w:val="58D24D40"/>
    <w:rsid w:val="59770E83"/>
    <w:rsid w:val="5B6106CD"/>
    <w:rsid w:val="5E200B57"/>
    <w:rsid w:val="62FA7748"/>
    <w:rsid w:val="655667A0"/>
    <w:rsid w:val="67AD6EC0"/>
    <w:rsid w:val="67F76100"/>
    <w:rsid w:val="67FA5203"/>
    <w:rsid w:val="6E1626E6"/>
    <w:rsid w:val="70555797"/>
    <w:rsid w:val="70897467"/>
    <w:rsid w:val="72730010"/>
    <w:rsid w:val="73AF3A03"/>
    <w:rsid w:val="743E4454"/>
    <w:rsid w:val="75F21F62"/>
    <w:rsid w:val="76604EA1"/>
    <w:rsid w:val="7C1975BB"/>
    <w:rsid w:val="7EBE43BD"/>
    <w:rsid w:val="BDEE0C0D"/>
    <w:rsid w:val="BFF5E490"/>
    <w:rsid w:val="C69F8F9B"/>
    <w:rsid w:val="FF7AF8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First Indent 2"/>
    <w:basedOn w:val="3"/>
    <w:qFormat/>
    <w:uiPriority w:val="0"/>
    <w:pPr>
      <w:keepNext w:val="0"/>
      <w:keepLines w:val="0"/>
      <w:widowControl w:val="0"/>
      <w:suppressLineNumbers w:val="0"/>
      <w:spacing w:before="0" w:beforeAutospacing="0" w:after="0" w:afterAutospacing="0"/>
      <w:ind w:left="0" w:right="0" w:firstLine="420" w:firstLineChars="200"/>
      <w:jc w:val="both"/>
    </w:pPr>
    <w:rPr>
      <w:rFonts w:hint="eastAsia" w:ascii="宋体" w:hAnsi="宋体" w:eastAsia="宋体" w:cs="宋体"/>
      <w:kern w:val="2"/>
      <w:sz w:val="28"/>
      <w:szCs w:val="28"/>
      <w:lang w:val="en-US" w:eastAsia="zh-CN" w:bidi="ar"/>
    </w:rPr>
  </w:style>
  <w:style w:type="paragraph" w:styleId="3">
    <w:name w:val="Body Text Indent"/>
    <w:basedOn w:val="1"/>
    <w:qFormat/>
    <w:uiPriority w:val="0"/>
    <w:pPr>
      <w:ind w:firstLine="538" w:firstLineChars="192"/>
    </w:pPr>
    <w:rPr>
      <w:rFonts w:ascii="宋体" w:hAnsi="宋体"/>
      <w:sz w:val="2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7">
    <w:name w:val="fontstyle01"/>
    <w:qFormat/>
    <w:uiPriority w:val="0"/>
    <w:rPr>
      <w:rFonts w:hint="eastAsia" w:ascii="仿宋_GB2312" w:eastAsia="仿宋_GB2312"/>
      <w:color w:val="000000"/>
      <w:sz w:val="24"/>
      <w:szCs w:val="24"/>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2022-01-19T01:14:00Z</dcterms:created>
  <dc:creator>雁过留声</dc:creator>
  <cp:lastModifiedBy>洋杨阳</cp:lastModifiedBy>
  <cp:lastPrinted>2022-03-17T16:27:00Z</cp:lastPrinted>
  <dcterms:modified xsi:type="dcterms:W3CDTF">2022-07-28T01:14:42Z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