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sz w:val="20"/>
          <w:szCs w:val="21"/>
        </w:rPr>
      </w:pPr>
      <w:r>
        <w:rPr>
          <w:rFonts w:hint="eastAsia" w:ascii="方正小标宋简体" w:hAnsi="方正小标宋简体" w:eastAsia="方正小标宋简体" w:cs="方正小标宋简体"/>
          <w:color w:val="000000"/>
          <w:sz w:val="32"/>
          <w:szCs w:val="32"/>
        </w:rPr>
        <w:t>《新建西安至重庆高速铁路安康至重庆段（四川段）工程建设项目压覆已查明重要矿产资源评估报告》矿产资源储量评审备案公示信息表</w:t>
      </w:r>
    </w:p>
    <w:tbl>
      <w:tblPr>
        <w:tblStyle w:val="8"/>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申请人</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京昆高速铁路西昆有限公司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报告名称</w:t>
            </w:r>
          </w:p>
        </w:tc>
        <w:tc>
          <w:tcPr>
            <w:tcW w:w="7882" w:type="dxa"/>
            <w:noWrap w:val="0"/>
            <w:vAlign w:val="center"/>
          </w:tcPr>
          <w:p>
            <w:pPr>
              <w:pStyle w:val="6"/>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《新建西安至重庆高速铁路安康至重庆段（四川段）工程建设项目压覆已查明重要矿产资源评估报告》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报告编制单位</w:t>
            </w:r>
          </w:p>
        </w:tc>
        <w:tc>
          <w:tcPr>
            <w:tcW w:w="7882" w:type="dxa"/>
            <w:noWrap w:val="0"/>
            <w:vAlign w:val="center"/>
          </w:tcPr>
          <w:p>
            <w:pPr>
              <w:keepNext w:val="0"/>
              <w:keepLines w:val="0"/>
              <w:suppressLineNumbers w:val="0"/>
              <w:adjustRightInd w:val="0"/>
              <w:snapToGrid w:val="0"/>
              <w:spacing w:before="0" w:beforeAutospacing="0" w:after="0" w:afterAutospacing="0" w:line="560" w:lineRule="exact"/>
              <w:ind w:left="0" w:right="0"/>
              <w:jc w:val="center"/>
              <w:rPr>
                <w:rFonts w:hint="eastAsia" w:ascii="仿宋_GB2312" w:hAnsi="仿宋_GB2312" w:eastAsia="仿宋_GB2312" w:cs="仿宋_GB2312"/>
                <w:bCs/>
                <w:snapToGrid w:val="0"/>
                <w:color w:val="auto"/>
                <w:kern w:val="2"/>
                <w:sz w:val="22"/>
                <w:szCs w:val="22"/>
                <w:lang w:val="en-US" w:eastAsia="zh-CN" w:bidi="ar-SA"/>
              </w:rPr>
            </w:pPr>
            <w:r>
              <w:rPr>
                <w:rFonts w:hint="eastAsia" w:ascii="仿宋_GB2312" w:hAnsi="仿宋_GB2312" w:eastAsia="仿宋_GB2312" w:cs="仿宋_GB2312"/>
                <w:bCs/>
                <w:snapToGrid w:val="0"/>
                <w:color w:val="auto"/>
                <w:kern w:val="2"/>
                <w:sz w:val="22"/>
                <w:szCs w:val="22"/>
                <w:lang w:val="en-US" w:eastAsia="zh-CN" w:bidi="ar-SA"/>
              </w:rPr>
              <w:t>四川省地质工程勘察院集团有限公司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主要编写人员</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李飞、肖军、杨天才、吴明皓等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矿业权证号</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矿业权人名称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评审机构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评审专家</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冉孟云、刘图强  赖贤友  李永建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本次采用工业指标</w:t>
            </w:r>
            <w:r>
              <w:rPr>
                <w:rFonts w:hint="eastAsia" w:ascii="仿宋_GB2312" w:hAnsi="仿宋_GB2312" w:eastAsia="仿宋_GB2312" w:cs="仿宋_GB2312"/>
                <w:color w:val="000000"/>
                <w:sz w:val="21"/>
                <w:szCs w:val="21"/>
                <w:lang w:val="en-US" w:eastAsia="zh-CN"/>
              </w:rPr>
              <w:t>/工程压覆影响范围</w:t>
            </w:r>
          </w:p>
        </w:tc>
        <w:tc>
          <w:tcPr>
            <w:tcW w:w="7882" w:type="dxa"/>
            <w:noWrap w:val="0"/>
            <w:vAlign w:val="center"/>
          </w:tcPr>
          <w:p>
            <w:pPr>
              <w:keepNext w:val="0"/>
              <w:keepLines w:val="0"/>
              <w:suppressLineNumbers w:val="0"/>
              <w:spacing w:before="0" w:beforeAutospacing="0" w:after="0" w:afterAutospacing="0" w:line="240" w:lineRule="auto"/>
              <w:ind w:left="0" w:right="0" w:firstLine="420"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工程平面影响范围：围护带宽度为50m（有用地红线地段从用地红线起算，隧道及辅助坑道从外廓线加1m起算）；影响深度：沿边界角推至不再扩展深度后垂直向下无限深（各路段路基或基础底面以下按下表深度不再按边界角向外扩展），隧道上方沿边界角推至地表。压覆影响范围为由平面范围向路基或基础底面标高以下按岩层边界角参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评审备案目的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w:t>
            </w:r>
            <w:r>
              <w:rPr>
                <w:rFonts w:hint="eastAsia" w:ascii="仿宋_GB2312" w:hAnsi="仿宋_GB2312" w:eastAsia="仿宋_GB2312" w:cs="仿宋_GB2312"/>
                <w:color w:val="000000"/>
                <w:sz w:val="21"/>
                <w:szCs w:val="21"/>
                <w:lang w:eastAsia="zh-CN"/>
              </w:rPr>
              <w:t>种</w:t>
            </w:r>
            <w:r>
              <w:rPr>
                <w:rFonts w:hint="eastAsia" w:ascii="仿宋_GB2312" w:hAnsi="仿宋_GB2312" w:eastAsia="仿宋_GB2312" w:cs="仿宋_GB2312"/>
                <w:color w:val="000000"/>
                <w:sz w:val="21"/>
                <w:szCs w:val="21"/>
              </w:rPr>
              <w:t>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评审备案资源储量</w:t>
            </w:r>
          </w:p>
        </w:tc>
        <w:tc>
          <w:tcPr>
            <w:tcW w:w="7882" w:type="dxa"/>
            <w:noWrap w:val="0"/>
            <w:vAlign w:val="center"/>
          </w:tcPr>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评审评定，新建西安至重庆高速铁路安康至重庆段（四川段）工程建设项目压覆各矿产地、矿业权的煤炭资源量为：</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（一）矿产地</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1.渠县龙门峡北井田：煤炭推断资源量51.0万吨；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2.达县井田：煤炭控制资源量19.8万吨；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3.大竹县城西井田：煤炭控制资源量1.4</w:t>
            </w:r>
            <w:bookmarkStart w:id="0" w:name="_GoBack"/>
            <w:bookmarkEnd w:id="0"/>
            <w:r>
              <w:rPr>
                <w:rFonts w:hint="eastAsia" w:ascii="仿宋_GB2312" w:hAnsi="仿宋_GB2312" w:eastAsia="仿宋_GB2312" w:cs="仿宋_GB2312"/>
                <w:color w:val="000000"/>
                <w:sz w:val="21"/>
                <w:szCs w:val="21"/>
                <w:lang w:eastAsia="zh-CN"/>
              </w:rPr>
              <w:t>万吨、推断资源量29.2万吨，合计30.6万吨；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4.宣汉县炉厂坪井田：煤炭推断资源量35.3万吨。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(二)采矿权</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1.大竹县清水大河沟煤矿：煤炭控制资源量26.9万吨、推断资源量1.9万吨，合计28.8万吨；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2.渠县通达琅琊煤业有限公司琅琊煤矿：煤炭控制资源量3.2万吨、推断资源量4.6万吨，合计7.8万吨；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3.四川省煤炭产业集团有限责任公司龙门峡北煤矿：煤炭控制资源量167.1万吨，推断资源量124.5万吨，合计291.6万吨；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4.四川达竹煤电（集团）有限责任公司（小河嘴煤矿）：采矿权平面内标高内煤炭探明资源量1.3万吨、控制资源量116.6万吨、推断资源量67.5万吨（其中，Ad＞40%的14煤层4.9万吨），合计185.4万吨；采矿权平面内标高外煤炭推断资源量15.8万吨。</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（三）探矿权</w:t>
            </w:r>
          </w:p>
          <w:p>
            <w:pPr>
              <w:keepNext w:val="0"/>
              <w:keepLines w:val="0"/>
              <w:numPr>
                <w:ilvl w:val="0"/>
                <w:numId w:val="0"/>
              </w:numPr>
              <w:suppressLineNumbers w:val="0"/>
              <w:bidi w:val="0"/>
              <w:spacing w:before="0" w:beforeAutospacing="0" w:after="0" w:afterAutospacing="0"/>
              <w:ind w:left="220" w:leftChars="0" w:right="0" w:rightChars="0" w:firstLine="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四川省达川区斌郎井田斌郎煤矿延深勘探：煤炭探明资源量64.2万吨，控制资源量87.6万吨，推断资源量164.7万吨，合计316.5万吨（其中，现探矿权范围内探明资源量64.2万吨、控制资源量87.6万吨、推断资源量85.2万吨，合计237.0万吨；现探矿权外原探矿权内推断资源量79.5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882" w:type="dxa"/>
            <w:noWrap w:val="0"/>
            <w:vAlign w:val="top"/>
          </w:tcPr>
          <w:p>
            <w:pPr>
              <w:keepNext w:val="0"/>
              <w:keepLines w:val="0"/>
              <w:suppressLineNumbers w:val="0"/>
              <w:bidi w:val="0"/>
              <w:spacing w:before="0" w:beforeAutospacing="0" w:after="0" w:afterAutospacing="0"/>
              <w:ind w:left="0" w:right="0" w:firstLine="420" w:firstLineChars="20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经调查</w:t>
            </w:r>
            <w:r>
              <w:rPr>
                <w:rFonts w:hint="eastAsia" w:ascii="仿宋_GB2312" w:hAnsi="仿宋_GB2312" w:eastAsia="仿宋_GB2312" w:cs="仿宋_GB2312"/>
                <w:color w:val="000000"/>
                <w:sz w:val="21"/>
                <w:szCs w:val="21"/>
                <w:lang w:val="en-US" w:eastAsia="zh-CN"/>
              </w:rPr>
              <w:t>核实</w:t>
            </w:r>
            <w:r>
              <w:rPr>
                <w:rFonts w:hint="eastAsia" w:ascii="仿宋_GB2312" w:hAnsi="仿宋_GB2312" w:eastAsia="仿宋_GB2312" w:cs="仿宋_GB2312"/>
                <w:color w:val="000000"/>
                <w:sz w:val="21"/>
                <w:szCs w:val="21"/>
                <w:lang w:eastAsia="zh-CN"/>
              </w:rPr>
              <w:t>，在</w:t>
            </w:r>
            <w:r>
              <w:rPr>
                <w:rFonts w:hint="eastAsia" w:ascii="仿宋_GB2312" w:hAnsi="仿宋_GB2312" w:eastAsia="仿宋_GB2312" w:cs="仿宋_GB2312"/>
                <w:color w:val="000000"/>
                <w:sz w:val="21"/>
                <w:szCs w:val="21"/>
                <w:lang w:val="en-US" w:eastAsia="zh-CN"/>
              </w:rPr>
              <w:t>拟建项目</w:t>
            </w:r>
            <w:r>
              <w:rPr>
                <w:rFonts w:hint="eastAsia" w:ascii="仿宋_GB2312" w:hAnsi="仿宋_GB2312" w:eastAsia="仿宋_GB2312" w:cs="仿宋_GB2312"/>
                <w:color w:val="000000"/>
                <w:sz w:val="21"/>
                <w:szCs w:val="21"/>
                <w:lang w:eastAsia="zh-CN"/>
              </w:rPr>
              <w:t>影响区范围内存在</w:t>
            </w: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lang w:eastAsia="zh-CN"/>
              </w:rPr>
              <w:t>处矿产地、</w:t>
            </w:r>
            <w:r>
              <w:rPr>
                <w:rFonts w:hint="eastAsia" w:ascii="仿宋_GB2312" w:hAnsi="仿宋_GB2312" w:eastAsia="仿宋_GB2312" w:cs="仿宋_GB2312"/>
                <w:color w:val="000000"/>
                <w:sz w:val="21"/>
                <w:szCs w:val="21"/>
                <w:lang w:val="en-US" w:eastAsia="zh-CN"/>
              </w:rPr>
              <w:t>10</w:t>
            </w:r>
            <w:r>
              <w:rPr>
                <w:rFonts w:hint="eastAsia" w:ascii="仿宋_GB2312" w:hAnsi="仿宋_GB2312" w:eastAsia="仿宋_GB2312" w:cs="仿宋_GB2312"/>
                <w:color w:val="000000"/>
                <w:sz w:val="21"/>
                <w:szCs w:val="21"/>
                <w:lang w:eastAsia="zh-CN"/>
              </w:rPr>
              <w:t>宗采矿权、</w:t>
            </w: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lang w:eastAsia="zh-CN"/>
              </w:rPr>
              <w:t>宗探矿权、</w:t>
            </w:r>
            <w:r>
              <w:rPr>
                <w:rFonts w:hint="eastAsia" w:ascii="仿宋_GB2312" w:hAnsi="仿宋_GB2312" w:eastAsia="仿宋_GB2312" w:cs="仿宋_GB2312"/>
                <w:color w:val="000000"/>
                <w:sz w:val="21"/>
                <w:szCs w:val="21"/>
                <w:lang w:val="en-US" w:eastAsia="zh-CN"/>
              </w:rPr>
              <w:t>1个省地勘基金项目</w:t>
            </w:r>
            <w:r>
              <w:rPr>
                <w:rFonts w:hint="eastAsia" w:ascii="仿宋_GB2312" w:hAnsi="仿宋_GB2312" w:eastAsia="仿宋_GB2312" w:cs="仿宋_GB2312"/>
                <w:color w:val="000000"/>
                <w:sz w:val="21"/>
                <w:szCs w:val="21"/>
                <w:lang w:eastAsia="zh-CN"/>
              </w:rPr>
              <w:t>。</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1242CC7"/>
    <w:rsid w:val="052C6F98"/>
    <w:rsid w:val="08E25683"/>
    <w:rsid w:val="09952026"/>
    <w:rsid w:val="0B0C5C37"/>
    <w:rsid w:val="10736DF9"/>
    <w:rsid w:val="12C34231"/>
    <w:rsid w:val="1B8732E9"/>
    <w:rsid w:val="1D467FFF"/>
    <w:rsid w:val="2CD5384D"/>
    <w:rsid w:val="2E747222"/>
    <w:rsid w:val="308402F0"/>
    <w:rsid w:val="310A06FD"/>
    <w:rsid w:val="327A3119"/>
    <w:rsid w:val="32917387"/>
    <w:rsid w:val="3375D5DD"/>
    <w:rsid w:val="36172D8A"/>
    <w:rsid w:val="3A2F06C0"/>
    <w:rsid w:val="3AA93E77"/>
    <w:rsid w:val="3C07147C"/>
    <w:rsid w:val="3E13386B"/>
    <w:rsid w:val="3FA4458D"/>
    <w:rsid w:val="41410ACB"/>
    <w:rsid w:val="42531B7C"/>
    <w:rsid w:val="429304E7"/>
    <w:rsid w:val="437E6621"/>
    <w:rsid w:val="462F5954"/>
    <w:rsid w:val="48C77C26"/>
    <w:rsid w:val="49991828"/>
    <w:rsid w:val="4C142777"/>
    <w:rsid w:val="4D970B37"/>
    <w:rsid w:val="4F912937"/>
    <w:rsid w:val="4FEA41EF"/>
    <w:rsid w:val="50573702"/>
    <w:rsid w:val="51156C2C"/>
    <w:rsid w:val="53F430D0"/>
    <w:rsid w:val="543A3C37"/>
    <w:rsid w:val="5483718F"/>
    <w:rsid w:val="55FE59C1"/>
    <w:rsid w:val="56680AAE"/>
    <w:rsid w:val="58D24D40"/>
    <w:rsid w:val="59770E83"/>
    <w:rsid w:val="5B6106CD"/>
    <w:rsid w:val="5E200B57"/>
    <w:rsid w:val="62E60A5A"/>
    <w:rsid w:val="62FA7748"/>
    <w:rsid w:val="655667A0"/>
    <w:rsid w:val="67AD6EC0"/>
    <w:rsid w:val="67F76100"/>
    <w:rsid w:val="67FA5203"/>
    <w:rsid w:val="682953ED"/>
    <w:rsid w:val="69C76671"/>
    <w:rsid w:val="6E1626E6"/>
    <w:rsid w:val="70555797"/>
    <w:rsid w:val="70897467"/>
    <w:rsid w:val="72730010"/>
    <w:rsid w:val="73AF3A03"/>
    <w:rsid w:val="743E4454"/>
    <w:rsid w:val="75F21F62"/>
    <w:rsid w:val="76604EA1"/>
    <w:rsid w:val="7C1975BB"/>
    <w:rsid w:val="7EBE43BD"/>
    <w:rsid w:val="BDEE0C0D"/>
    <w:rsid w:val="BFF5E490"/>
    <w:rsid w:val="C69F8F9B"/>
    <w:rsid w:val="FF7AF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next w:val="3"/>
    <w:uiPriority w:val="0"/>
    <w:rPr>
      <w:rFonts w:ascii="宋体" w:hAnsi="Courier New"/>
      <w:szCs w:val="20"/>
    </w:rPr>
  </w:style>
  <w:style w:type="paragraph" w:styleId="3">
    <w:name w:val="index 5"/>
    <w:basedOn w:val="1"/>
    <w:next w:val="1"/>
    <w:qFormat/>
    <w:uiPriority w:val="0"/>
    <w:pPr>
      <w:ind w:left="800" w:leftChars="800"/>
    </w:pPr>
    <w:rPr>
      <w:rFonts w:ascii="Times New Roman" w:hAnsi="Times New Roman" w:eastAsia="宋体" w:cs="Times New Roman"/>
      <w:szCs w:val="24"/>
    </w:rPr>
  </w:style>
  <w:style w:type="paragraph" w:styleId="4">
    <w:name w:val="Body Text"/>
    <w:basedOn w:val="1"/>
    <w:unhideWhenUsed/>
    <w:qFormat/>
    <w:uiPriority w:val="0"/>
    <w:pPr>
      <w:spacing w:after="120" w:line="360" w:lineRule="auto"/>
    </w:pPr>
    <w:rPr>
      <w:rFonts w:ascii="宋体" w:hAnsi="Times New Roman"/>
      <w:sz w:val="24"/>
    </w:rPr>
  </w:style>
  <w:style w:type="paragraph" w:styleId="5">
    <w:name w:val="Body Text Indent"/>
    <w:basedOn w:val="1"/>
    <w:qFormat/>
    <w:uiPriority w:val="0"/>
    <w:pPr>
      <w:ind w:firstLine="538" w:firstLineChars="192"/>
    </w:pPr>
    <w:rPr>
      <w:rFonts w:ascii="宋体" w:hAnsi="宋体"/>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character" w:customStyle="1" w:styleId="10">
    <w:name w:val="fontstyle01"/>
    <w:qFormat/>
    <w:uiPriority w:val="0"/>
    <w:rPr>
      <w:rFonts w:hint="eastAsia" w:ascii="仿宋_GB2312" w:eastAsia="仿宋_GB2312"/>
      <w:color w:val="00000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2022-01-19T01:14:00Z</dcterms:created>
  <dc:creator>雁过留声</dc:creator>
  <cp:lastModifiedBy>洋杨阳</cp:lastModifiedBy>
  <cp:lastPrinted>2022-03-17T16:27:00Z</cp:lastPrinted>
  <dcterms:modified xsi:type="dcterms:W3CDTF">2022-09-01T06:12:25Z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