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firstLine="0" w:firstLineChars="0"/>
        <w:jc w:val="left"/>
        <w:textAlignment w:val="auto"/>
        <w:rPr>
          <w:rFonts w:hint="eastAsia" w:ascii="黑体" w:hAnsi="黑体" w:eastAsia="黑体" w:cs="黑体"/>
          <w:i w:val="0"/>
          <w:iCs w:val="0"/>
          <w:caps w:val="0"/>
          <w:color w:val="000000"/>
          <w:spacing w:val="0"/>
          <w:sz w:val="32"/>
          <w:szCs w:val="32"/>
          <w:u w:val="none"/>
          <w:lang w:val="en-US" w:eastAsia="zh-CN"/>
        </w:rPr>
      </w:pPr>
      <w:r>
        <w:rPr>
          <w:rFonts w:hint="eastAsia" w:ascii="黑体" w:hAnsi="黑体" w:eastAsia="黑体" w:cs="黑体"/>
          <w:i w:val="0"/>
          <w:iCs w:val="0"/>
          <w:caps w:val="0"/>
          <w:color w:val="000000"/>
          <w:spacing w:val="0"/>
          <w:sz w:val="32"/>
          <w:szCs w:val="32"/>
          <w:u w:val="none"/>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000000"/>
          <w:spacing w:val="0"/>
          <w:kern w:val="2"/>
          <w:sz w:val="36"/>
          <w:szCs w:val="36"/>
          <w:shd w:val="clear" w:color="auto" w:fill="FFFFFF"/>
          <w:lang w:val="en-US" w:eastAsia="zh-CN" w:bidi="ar-SA"/>
        </w:rPr>
      </w:pPr>
      <w:r>
        <w:rPr>
          <w:rFonts w:hint="eastAsia" w:ascii="方正小标宋简体" w:hAnsi="方正小标宋简体" w:eastAsia="方正小标宋简体" w:cs="方正小标宋简体"/>
          <w:i w:val="0"/>
          <w:iCs w:val="0"/>
          <w:caps w:val="0"/>
          <w:color w:val="000000"/>
          <w:spacing w:val="0"/>
          <w:kern w:val="2"/>
          <w:sz w:val="36"/>
          <w:szCs w:val="36"/>
          <w:shd w:val="clear" w:color="auto" w:fill="FFFFFF"/>
          <w:lang w:val="en-US" w:eastAsia="zh-CN" w:bidi="ar-SA"/>
        </w:rPr>
        <w:t>自然资源部成都平原国土生态与土地利用野外科学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000000"/>
          <w:spacing w:val="0"/>
          <w:kern w:val="2"/>
          <w:sz w:val="36"/>
          <w:szCs w:val="36"/>
          <w:shd w:val="clear" w:color="auto" w:fill="FFFFFF"/>
          <w:lang w:val="en-US" w:eastAsia="zh-CN" w:bidi="ar-SA"/>
        </w:rPr>
      </w:pPr>
      <w:r>
        <w:rPr>
          <w:rFonts w:hint="eastAsia" w:ascii="方正小标宋简体" w:hAnsi="方正小标宋简体" w:eastAsia="方正小标宋简体" w:cs="方正小标宋简体"/>
          <w:i w:val="0"/>
          <w:iCs w:val="0"/>
          <w:caps w:val="0"/>
          <w:color w:val="000000"/>
          <w:spacing w:val="0"/>
          <w:kern w:val="2"/>
          <w:sz w:val="36"/>
          <w:szCs w:val="36"/>
          <w:shd w:val="clear" w:color="auto" w:fill="FFFFFF"/>
          <w:lang w:val="en-US" w:eastAsia="zh-CN" w:bidi="ar-SA"/>
        </w:rPr>
        <w:t>观测研究站2023年度开放基金课题评审结果</w:t>
      </w:r>
    </w:p>
    <w:tbl>
      <w:tblPr>
        <w:tblStyle w:val="3"/>
        <w:tblW w:w="51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2"/>
        <w:gridCol w:w="920"/>
        <w:gridCol w:w="7110"/>
        <w:gridCol w:w="1470"/>
        <w:gridCol w:w="2450"/>
        <w:gridCol w:w="1131"/>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号</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资助</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方向</w:t>
            </w:r>
          </w:p>
        </w:tc>
        <w:tc>
          <w:tcPr>
            <w:tcW w:w="2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题  目</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姓  名</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单  位</w:t>
            </w:r>
          </w:p>
        </w:tc>
        <w:tc>
          <w:tcPr>
            <w:tcW w:w="3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评审</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方向一</w:t>
            </w:r>
          </w:p>
        </w:tc>
        <w:tc>
          <w:tcPr>
            <w:tcW w:w="4506"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四川盆地耕地生态系统监测指标、技术手段、网络布局优化研究与应用试验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①</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面向自然资源管理的耕地生态系统观测布局与优化</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宫阿都</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北京师范大学</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89.8</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②</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基于“源-径-汇”关系的成都平原典型的工业型城乡交错区耕地重金属污染风险评价及安全利用区划研究</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西南科技大学</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85.0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③</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四川盆地耕地向高海拔扩张特征及其生态效应研究</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陈万旭</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中国地质大学</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87.2</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方向二</w:t>
            </w:r>
          </w:p>
        </w:tc>
        <w:tc>
          <w:tcPr>
            <w:tcW w:w="4506"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自然资源管理的知识图谱示范性建设与应用研究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①</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基于知识图谱的全生命周期项目用地保障决策支持模型应用研究</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赵宏达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成都坤與空间科技有限公司</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81.9</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②</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知识图谱与大语言模型支持的自然资源知识化管理与智能问答方法研究</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黄泽纯</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西南交通大学</w:t>
            </w:r>
          </w:p>
        </w:tc>
        <w:tc>
          <w:tcPr>
            <w:tcW w:w="3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88.2</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方向三</w:t>
            </w:r>
          </w:p>
        </w:tc>
        <w:tc>
          <w:tcPr>
            <w:tcW w:w="4506"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生态保护红线监测评估与管控提升研究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①</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保护-发展冲突地区生态保护红线成效评估与管控优化路径—以成都平原为例</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金晓斌</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南</w:t>
            </w:r>
            <w:bookmarkStart w:id="0" w:name="_GoBack"/>
            <w:bookmarkEnd w:id="0"/>
            <w:r>
              <w:rPr>
                <w:rFonts w:hint="default" w:ascii="Times New Roman" w:hAnsi="Times New Roman" w:eastAsia="仿宋_GB2312" w:cs="Times New Roman"/>
                <w:i w:val="0"/>
                <w:iCs w:val="0"/>
                <w:color w:val="000000"/>
                <w:kern w:val="0"/>
                <w:sz w:val="28"/>
                <w:szCs w:val="28"/>
                <w:u w:val="none"/>
                <w:lang w:val="en-US" w:eastAsia="zh-CN" w:bidi="ar"/>
              </w:rPr>
              <w:t>京大学</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90.89</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②</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成都平原生态保护红线区生态系统服务协同/权衡时空演变与管控分区研究</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张扬</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四川志盛科技有限公司</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84.1</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562" w:firstLineChars="200"/>
              <w:jc w:val="both"/>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方向四  成都平原耕地“非农化”、“非粮化”监测关键技术集成及社会治理对策研究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①</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深度学习和国土调查成果支持下的成都平原耕地“非农化”“非粮化”时空演变特征研究</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李剑波</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西南交通大学</w:t>
            </w:r>
          </w:p>
        </w:tc>
        <w:tc>
          <w:tcPr>
            <w:tcW w:w="3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84.7</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②</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面向时空谱角全要素高分辨率遥感影像的耕地“非农化”、“非粮化”监测方法及社会治理对策研究</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文大为</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武汉工程大学</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84.1</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③</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成都平原地区耕地-生态-社会系统耦合模拟与高精度数据集制备</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吴旭东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北京林业大学</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85.0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微软雅黑" w:cs="Times New Roman"/>
                <w:i w:val="0"/>
                <w:iCs w:val="0"/>
                <w:color w:val="000000"/>
                <w:kern w:val="0"/>
                <w:sz w:val="28"/>
                <w:szCs w:val="28"/>
                <w:u w:val="none"/>
                <w:lang w:val="en-US" w:eastAsia="zh-CN" w:bidi="ar"/>
              </w:rPr>
              <w:t>④</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基于深度学习的多源遥感数据耕地信息提取技术研究</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何敬</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tc>
        <w:tc>
          <w:tcPr>
            <w:tcW w:w="3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86.7</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3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⑤</w:t>
            </w:r>
          </w:p>
        </w:tc>
        <w:tc>
          <w:tcPr>
            <w:tcW w:w="2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成都平原近20年耕地“非农化”时空过程、驱动机制与治理分区研究</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张建勇</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tc>
        <w:tc>
          <w:tcPr>
            <w:tcW w:w="3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85.0</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否</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0" w:beforeAutospacing="0" w:after="106" w:afterAutospacing="0" w:line="400" w:lineRule="exact"/>
        <w:ind w:left="0" w:leftChars="0" w:right="0" w:firstLine="0" w:firstLineChars="0"/>
        <w:jc w:val="left"/>
        <w:rPr>
          <w:rFonts w:hint="eastAsia" w:ascii="宋体" w:hAnsi="宋体" w:eastAsia="宋体" w:cs="宋体"/>
          <w:i w:val="0"/>
          <w:iCs w:val="0"/>
          <w:caps w:val="0"/>
          <w:color w:val="000000"/>
          <w:spacing w:val="0"/>
          <w:sz w:val="24"/>
          <w:szCs w:val="24"/>
          <w:u w:val="none"/>
          <w:lang w:val="en-US" w:eastAsia="zh-CN"/>
        </w:rPr>
      </w:pPr>
    </w:p>
    <w:p>
      <w:pPr>
        <w:keepNext w:val="0"/>
        <w:keepLines w:val="0"/>
        <w:pageBreakBefore w:val="0"/>
        <w:kinsoku/>
        <w:wordWrap/>
        <w:overflowPunct/>
        <w:topLinePunct w:val="0"/>
        <w:autoSpaceDE/>
        <w:autoSpaceDN/>
        <w:bidi w:val="0"/>
        <w:adjustRightInd/>
        <w:snapToGrid/>
        <w:spacing w:line="400" w:lineRule="exact"/>
      </w:pPr>
    </w:p>
    <w:p/>
    <w:sectPr>
      <w:pgSz w:w="16838" w:h="11906" w:orient="landscape"/>
      <w:pgMar w:top="1803" w:right="1440" w:bottom="1803" w:left="1440" w:header="851" w:footer="992" w:gutter="0"/>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NzVlODhkOTE5NWZkMGVkM2ZmOTA5OGFjNWY5NGIifQ=="/>
  </w:docVars>
  <w:rsids>
    <w:rsidRoot w:val="00000000"/>
    <w:rsid w:val="0022181C"/>
    <w:rsid w:val="37863E63"/>
    <w:rsid w:val="3AB85273"/>
    <w:rsid w:val="616554F0"/>
    <w:rsid w:val="7BDF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Times New Roman" w:hAnsi="Times New Roman" w:eastAsia="方正仿宋_GB2312"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2023-11-23T03:45:00Z</dcterms:created>
  <dc:creator>nicho</dc:creator>
  <cp:lastModifiedBy>木兰</cp:lastModifiedBy>
  <dcterms:modified xsi:type="dcterms:W3CDTF">2023-11-23T03:49:54Z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67E314F8872D4BC9AFC2D829F55EF89A_12</vt:lpwstr>
  </property>
</Properties>
</file>