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0"/>
        <w:rPr>
          <w:spacing w:val="-11"/>
          <w:sz w:val="20"/>
          <w:szCs w:val="21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sz w:val="32"/>
          <w:szCs w:val="32"/>
        </w:rPr>
        <w:t>《攀枝花至盐源高速公路建设项目压覆已查明重要矿产资源评估报告》矿产资源储量评审备案公示信息表</w:t>
      </w:r>
    </w:p>
    <w:tbl>
      <w:tblPr>
        <w:tblStyle w:val="10"/>
        <w:tblW w:w="98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8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申请人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攀枝花市交通运输局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《攀枝花至盐源高速公路建设项目压覆已查明重要矿产资源评估报告》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报告编制单位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四川省地质矿产勘查开发局一0八地质队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主要编写人员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吴锦超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汤方亮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  <w:t>骆志红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矿业权证号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矿业权人名称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评审机构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四川省矿产资源储量评审中心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评审专家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冉孟云  吴永贵  赖贤友  蒋光明  王林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工程压覆影响范围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平面范围：路基、涵洞段为用地红线外推100m；隧道为中线外推106m，洞口外推100m；桥梁为用地红线周围外推200m。影响深度：根据拟建项目推荐线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的地形地质条件及矿产资源赋存特征分为三段，各段、各类工程的影响深度见下表。</w:t>
            </w:r>
          </w:p>
          <w:tbl>
            <w:tblPr>
              <w:tblStyle w:val="11"/>
              <w:tblW w:w="711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"/>
              <w:gridCol w:w="1013"/>
              <w:gridCol w:w="45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黑体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分段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及里程桩号</w:t>
                  </w: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黑体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val="en-US" w:eastAsia="zh-CN"/>
                    </w:rPr>
                    <w:t>工程类型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黑体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val="en-US" w:eastAsia="zh-CN"/>
                    </w:rPr>
                    <w:t>影  响  深  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凉山州盐源段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（K0+000～K33+100）</w:t>
                  </w: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路基、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涵洞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设计路基面以下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600m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kern w:val="2"/>
                      <w:sz w:val="13"/>
                      <w:szCs w:val="13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隧道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设计路基面以下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600m，洞顶以上100m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kern w:val="2"/>
                      <w:sz w:val="13"/>
                      <w:szCs w:val="13"/>
                      <w:lang w:val="en-US" w:eastAsia="zh-CN" w:bidi="ar-SA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sz w:val="13"/>
                      <w:szCs w:val="13"/>
                      <w:highlight w:val="none"/>
                      <w:lang w:val="en-US" w:eastAsia="zh-CN"/>
                    </w:rPr>
                    <w:t>桥梁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中桥、大桥基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底以下按移动角计算至600m后垂直向下无限深；特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大桥基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底以下按边界角计算至600m后垂直向下无限深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攀枝花盐边段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kern w:val="2"/>
                      <w:sz w:val="13"/>
                      <w:szCs w:val="13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（K33+100～K96+200）</w:t>
                  </w: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路基、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涵洞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设计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路面以下350m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隧道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设计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路面以下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470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m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洞顶以上100m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sz w:val="13"/>
                      <w:szCs w:val="13"/>
                      <w:highlight w:val="none"/>
                      <w:lang w:val="en-US" w:eastAsia="zh-CN"/>
                    </w:rPr>
                    <w:t>简支桥梁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中桥、大桥基底以下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按移动角计算至470m后垂直向下无限深；特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大桥基底以下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按边界角计算至470m后垂直向下无限深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sz w:val="13"/>
                      <w:szCs w:val="13"/>
                      <w:highlight w:val="none"/>
                      <w:lang w:val="en-US" w:eastAsia="zh-CN"/>
                    </w:rPr>
                    <w:t>非简支桥梁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中桥、大桥基底以下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按移动角计算至700m后垂直向下无限深；特大桥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按边界角计算至700m后垂直向下无限深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攀枝花仁和</w:t>
                  </w: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  <w:lang w:val="en-US" w:eastAsia="zh-CN"/>
                    </w:rPr>
                    <w:t>区</w:t>
                  </w: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、西区段（K96+200～K131+374）</w:t>
                  </w: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路基、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涵洞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设计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路面以下382m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3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eastAsia="zh-CN"/>
                    </w:rPr>
                    <w:t>隧道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设计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路面以下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510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</w:rPr>
                    <w:t>m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eastAsia="zh-CN"/>
                    </w:rPr>
                    <w:t>，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洞顶以上100m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9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sz w:val="13"/>
                      <w:szCs w:val="13"/>
                      <w:highlight w:val="none"/>
                      <w:lang w:val="en-US" w:eastAsia="zh-CN"/>
                    </w:rPr>
                    <w:t>简支桥梁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中桥、大桥基底以下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按移动角计算至510m后垂直向下无限深；特大桥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按边界角计算至510m后垂直向下无限深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7" w:hRule="atLeast"/>
                <w:jc w:val="center"/>
              </w:trPr>
              <w:tc>
                <w:tcPr>
                  <w:tcW w:w="158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1013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color w:val="auto"/>
                      <w:sz w:val="13"/>
                      <w:szCs w:val="13"/>
                      <w:highlight w:val="none"/>
                      <w:lang w:val="en-US" w:eastAsia="zh-CN"/>
                    </w:rPr>
                    <w:t>非简支桥梁</w:t>
                  </w:r>
                </w:p>
              </w:tc>
              <w:tc>
                <w:tcPr>
                  <w:tcW w:w="451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kern w:val="2"/>
                      <w:sz w:val="13"/>
                      <w:szCs w:val="13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中桥、大桥基底以下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按移动角计算至764m后垂直向下无限深；特大桥</w:t>
                  </w:r>
                  <w:r>
                    <w:rPr>
                      <w:rFonts w:hint="default" w:ascii="Times New Roman" w:hAnsi="Times New Roman" w:eastAsia="仿宋" w:cs="Times New Roman"/>
                      <w:sz w:val="13"/>
                      <w:szCs w:val="13"/>
                      <w:lang w:val="en-US" w:eastAsia="zh-CN"/>
                    </w:rPr>
                    <w:t>基底以下</w:t>
                  </w:r>
                  <w:r>
                    <w:rPr>
                      <w:rFonts w:hint="default" w:ascii="Times New Roman" w:hAnsi="Times New Roman" w:eastAsia="仿宋" w:cs="Times New Roman"/>
                      <w:snapToGrid w:val="0"/>
                      <w:color w:val="auto"/>
                      <w:spacing w:val="0"/>
                      <w:sz w:val="13"/>
                      <w:szCs w:val="13"/>
                      <w:lang w:val="en-US" w:eastAsia="zh-CN"/>
                    </w:rPr>
                    <w:t>按边界角计算至764m后垂直向下无限深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压覆影响区范围由平面范围、移动角或边界角以及影响深度确定。评估区各段岩层移动角、边界角见下表。</w:t>
            </w:r>
          </w:p>
          <w:tbl>
            <w:tblPr>
              <w:tblStyle w:val="10"/>
              <w:tblW w:w="66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28" w:type="dxa"/>
                <w:left w:w="57" w:type="dxa"/>
                <w:bottom w:w="28" w:type="dxa"/>
                <w:right w:w="57" w:type="dxa"/>
              </w:tblCellMar>
            </w:tblPr>
            <w:tblGrid>
              <w:gridCol w:w="1737"/>
              <w:gridCol w:w="807"/>
              <w:gridCol w:w="807"/>
              <w:gridCol w:w="809"/>
              <w:gridCol w:w="825"/>
              <w:gridCol w:w="825"/>
              <w:gridCol w:w="82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56" w:hRule="atLeast"/>
                <w:tblHeader/>
                <w:jc w:val="center"/>
              </w:trPr>
              <w:tc>
                <w:tcPr>
                  <w:tcW w:w="1737" w:type="dxa"/>
                  <w:vMerge w:val="restart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分段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及里程桩号</w:t>
                  </w:r>
                </w:p>
              </w:tc>
              <w:tc>
                <w:tcPr>
                  <w:tcW w:w="2423" w:type="dxa"/>
                  <w:gridSpan w:val="3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移动角</w:t>
                  </w:r>
                  <w:r>
                    <w:rPr>
                      <w:rFonts w:hint="default" w:ascii="Times New Roman" w:hAnsi="Times New Roman" w:eastAsia="黑体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（°）</w:t>
                  </w:r>
                </w:p>
              </w:tc>
              <w:tc>
                <w:tcPr>
                  <w:tcW w:w="2478" w:type="dxa"/>
                  <w:gridSpan w:val="3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边界角</w:t>
                  </w:r>
                  <w:r>
                    <w:rPr>
                      <w:rFonts w:hint="default" w:ascii="Times New Roman" w:hAnsi="Times New Roman" w:eastAsia="黑体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（°）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356" w:hRule="atLeast"/>
                <w:tblHeader/>
                <w:jc w:val="center"/>
              </w:trPr>
              <w:tc>
                <w:tcPr>
                  <w:tcW w:w="1737" w:type="dxa"/>
                  <w:vMerge w:val="continue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走向（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δ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  <w:t>）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上山（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γ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）</w:t>
                  </w:r>
                </w:p>
              </w:tc>
              <w:tc>
                <w:tcPr>
                  <w:tcW w:w="8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下山（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β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  <w:t>）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走向（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δ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subscript"/>
                    </w:rPr>
                    <w:t>0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上山（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γ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subscript"/>
                    </w:rPr>
                    <w:t>0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baseline"/>
                      <w:lang w:eastAsia="zh-CN"/>
                    </w:rPr>
                    <w:t>）</w:t>
                  </w:r>
                </w:p>
              </w:tc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baseline"/>
                      <w:lang w:eastAsia="zh-CN"/>
                    </w:rPr>
                  </w:pP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val="en-US" w:eastAsia="zh-CN"/>
                    </w:rPr>
                    <w:t>下山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lang w:eastAsia="zh-CN"/>
                    </w:rPr>
                    <w:t>（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</w:rPr>
                    <w:t>β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subscript"/>
                    </w:rPr>
                    <w:t>0</w:t>
                  </w:r>
                  <w:r>
                    <w:rPr>
                      <w:rFonts w:hint="default" w:ascii="Times New Roman" w:hAnsi="Times New Roman" w:eastAsia="黑体" w:cs="Times New Roman"/>
                      <w:bCs/>
                      <w:snapToGrid/>
                      <w:color w:val="000000"/>
                      <w:kern w:val="0"/>
                      <w:sz w:val="13"/>
                      <w:szCs w:val="13"/>
                      <w:vertAlign w:val="baseli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凉山州盐源段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（K0+000～K33+100）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70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70</w:t>
                  </w:r>
                </w:p>
              </w:tc>
              <w:tc>
                <w:tcPr>
                  <w:tcW w:w="8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67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55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55</w:t>
                  </w:r>
                </w:p>
              </w:tc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603" w:hRule="atLeast"/>
                <w:jc w:val="center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攀枝花盐边段</w:t>
                  </w:r>
                </w:p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（K33+100～K96+200）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8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54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39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28" w:type="dxa"/>
                  <w:left w:w="57" w:type="dxa"/>
                  <w:bottom w:w="28" w:type="dxa"/>
                  <w:right w:w="57" w:type="dxa"/>
                </w:tblCellMar>
              </w:tblPrEx>
              <w:trPr>
                <w:trHeight w:val="620" w:hRule="atLeast"/>
                <w:jc w:val="center"/>
              </w:trPr>
              <w:tc>
                <w:tcPr>
                  <w:tcW w:w="1737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攀枝花仁和</w:t>
                  </w: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  <w:lang w:val="en-US" w:eastAsia="zh-CN"/>
                    </w:rPr>
                    <w:t>区</w:t>
                  </w: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、西区段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textAlignment w:val="auto"/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sz w:val="13"/>
                      <w:szCs w:val="13"/>
                    </w:rPr>
                    <w:t>（K96+200～K131+374）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807" w:type="dxa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kern w:val="0"/>
                      <w:sz w:val="13"/>
                      <w:szCs w:val="13"/>
                    </w:rPr>
                    <w:t>75</w:t>
                  </w:r>
                </w:p>
              </w:tc>
              <w:tc>
                <w:tcPr>
                  <w:tcW w:w="809" w:type="dxa"/>
                  <w:noWrap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62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825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60</w:t>
                  </w:r>
                </w:p>
              </w:tc>
              <w:tc>
                <w:tcPr>
                  <w:tcW w:w="828" w:type="dxa"/>
                  <w:noWrap w:val="0"/>
                  <w:vAlign w:val="center"/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 w:line="240" w:lineRule="auto"/>
                    <w:ind w:left="0" w:right="0" w:firstLine="0" w:firstLineChars="0"/>
                    <w:jc w:val="center"/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</w:pPr>
                  <w:r>
                    <w:rPr>
                      <w:rFonts w:hint="default" w:ascii="Times New Roman" w:hAnsi="Times New Roman" w:eastAsia="仿宋" w:cs="Times New Roman"/>
                      <w:snapToGrid/>
                      <w:color w:val="000000"/>
                      <w:sz w:val="13"/>
                      <w:szCs w:val="13"/>
                    </w:rPr>
                    <w:t>47</w:t>
                  </w: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420" w:firstLineChars="200"/>
              <w:jc w:val="left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2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压覆资源量估算工业指标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本次压覆资源量估算的原始数据均引自各矿产地、矿业权最近一次资源储量报告。各矿产地、矿业权采用的工业指标如下：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（1）攀枝花市格里坪井田（矿产地）：最小可采厚度0.40m，最高灰分（A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）50%，最高硫分（S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）3.0%。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（2）盐源县清水河一号井田（矿产地）：最小可采厚度0.60m；最高灰分（A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）50%，最高硫分（S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）1.0%。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（3）盐源县梅雨井田（矿产地）：最小可采厚度0.70m；最高灰分（A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）50%；最高硫分（S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）1.5%。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（4）达连田煤矿（已关闭）：最小可采厚度0.30m，最高灰分（A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）40%，最高硫分（S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）3.0%。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（5）攀枝花市华阳煤业有限责任公司三矿（已关闭）：最小可采厚度0.40m，最高灰分（A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）40%，最高硫分（S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）3.0%。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 w:firstLine="420" w:firstLineChars="200"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（6）四川省盐边县箐河朵格井田煤矿详查（探矿权）：最小可采厚度0.30m，最高灰分（A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）40%，最高硫分（S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vertAlign w:val="subscript"/>
                <w:lang w:val="en-US" w:eastAsia="zh-CN" w:bidi="ar-SA"/>
              </w:rPr>
              <w:t>t,d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）3.0%。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评审备案目的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建设项目压覆重要矿产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eastAsia="zh-CN"/>
              </w:rPr>
              <w:t>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评审备案资源储量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评审评定，攀枝花至盐源高速公路建设项目压覆各矿产地、矿业权的煤炭资源量为：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（一）矿产地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1.攀枝花市格里坪井田：煤炭控制资源量121.7万吨；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2.盐源县清水河一号井田：煤炭控制资源量6.3万吨，推断资源量93.5万吨，合计99.8万吨；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3.盐源县梅雨井田：煤炭控制资源量251.1万吨，推断资源量3.0万吨，合计254.1万吨。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（二）采矿权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1.攀枝花市利俊兴工贸有限公司达连田煤矿（已关闭）：煤炭控制资源量16.1万吨、推断资源量62.7万吨，合计78.8万吨；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2.攀枝花市华阳煤业有限责任公司三矿（已注销）：煤炭控制资源量27.8万吨。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（三）探矿权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42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四川省盐边县箐河朵格井田煤矿详查：煤炭控制资源量121.5万吨、推断资源量70.0万吨，合计191.5万吨。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827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420" w:firstLineChars="200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经调查核实，拟建项目影响区范围内存在已查明重要矿产资源的矿产地8个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</w:t>
            </w:r>
            <w:bookmarkStart w:id="0" w:name="_GoBack"/>
            <w:bookmarkEnd w:id="0"/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攀枝花市格里坪井田（煤炭）、盐边县龙塘铅锌矿区（锌）、</w:t>
            </w:r>
            <w:r>
              <w:rPr>
                <w:rFonts w:hint="default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盐边县田坪石墨矿区（石墨）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、盐边县朵格井田（煤炭）、盐边县箐河井田（煤炭）、盐源县清水河一号井田（煤炭）、盐源县清水河二号井田（煤炭）、盐源县梅雨井田（煤炭））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，采矿权3宗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（攀枝花市利俊兴工贸有限责任公司达连田煤矿、盐边县宗志矿业有限责任公司箐河乡板依村煤矿、攀枝花市华阳煤业有限责任公司三矿（已关闭））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，探矿权5宗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（四川省盐边县仁和区高家村铂、镍锰石墨矿详查，四川省盐边县龙塘铅锌矿详查，四川省盐边县箐河朵格井田煤矿详查，</w:t>
            </w:r>
            <w:r>
              <w:rPr>
                <w:rFonts w:hint="default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四川省盐源县黄草镇丁家沟北褐铁矿详查</w:t>
            </w:r>
            <w:r>
              <w:rPr>
                <w:rFonts w:hint="eastAsia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，四川省盐源县黄草镇新龙沟铜矿详查）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p>
      <w:pPr>
        <w:pStyle w:val="9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ODAxODRjMmNjOTAyMDBhZDZhODRiOWM5NzUxOTEifQ=="/>
  </w:docVars>
  <w:rsids>
    <w:rsidRoot w:val="70555797"/>
    <w:rsid w:val="004A0047"/>
    <w:rsid w:val="01D24C09"/>
    <w:rsid w:val="04F2757C"/>
    <w:rsid w:val="052C6F98"/>
    <w:rsid w:val="073C399C"/>
    <w:rsid w:val="0E741BC0"/>
    <w:rsid w:val="0ECF39FA"/>
    <w:rsid w:val="0F510C48"/>
    <w:rsid w:val="0F5D3253"/>
    <w:rsid w:val="102E6CFE"/>
    <w:rsid w:val="12C34231"/>
    <w:rsid w:val="15827F48"/>
    <w:rsid w:val="160C13C3"/>
    <w:rsid w:val="17F55BD5"/>
    <w:rsid w:val="1A4A4952"/>
    <w:rsid w:val="1B8732E9"/>
    <w:rsid w:val="21AE5290"/>
    <w:rsid w:val="26031705"/>
    <w:rsid w:val="286C60A7"/>
    <w:rsid w:val="292C33BF"/>
    <w:rsid w:val="2A122105"/>
    <w:rsid w:val="2B7E329E"/>
    <w:rsid w:val="2C687A4B"/>
    <w:rsid w:val="2E747222"/>
    <w:rsid w:val="2EB74712"/>
    <w:rsid w:val="30831D8D"/>
    <w:rsid w:val="308402F0"/>
    <w:rsid w:val="31560EF9"/>
    <w:rsid w:val="32917387"/>
    <w:rsid w:val="33047233"/>
    <w:rsid w:val="36613B84"/>
    <w:rsid w:val="38820B69"/>
    <w:rsid w:val="3C07147C"/>
    <w:rsid w:val="3C107593"/>
    <w:rsid w:val="3C1328AE"/>
    <w:rsid w:val="3CA36CA8"/>
    <w:rsid w:val="3DB50464"/>
    <w:rsid w:val="3E13386B"/>
    <w:rsid w:val="40047891"/>
    <w:rsid w:val="420B7727"/>
    <w:rsid w:val="42531B7C"/>
    <w:rsid w:val="437E6621"/>
    <w:rsid w:val="48C77C26"/>
    <w:rsid w:val="49991828"/>
    <w:rsid w:val="4D970B37"/>
    <w:rsid w:val="4EAE64BF"/>
    <w:rsid w:val="4F912937"/>
    <w:rsid w:val="51EC759B"/>
    <w:rsid w:val="53C9489D"/>
    <w:rsid w:val="53F430D0"/>
    <w:rsid w:val="5483718F"/>
    <w:rsid w:val="54D41A90"/>
    <w:rsid w:val="56680AAE"/>
    <w:rsid w:val="57B73C80"/>
    <w:rsid w:val="5BE91C11"/>
    <w:rsid w:val="5C8B3520"/>
    <w:rsid w:val="5D21706A"/>
    <w:rsid w:val="5E200B57"/>
    <w:rsid w:val="5FEB64D6"/>
    <w:rsid w:val="60716DEE"/>
    <w:rsid w:val="609617FC"/>
    <w:rsid w:val="619619C3"/>
    <w:rsid w:val="62DD6DFC"/>
    <w:rsid w:val="62FA7748"/>
    <w:rsid w:val="66197317"/>
    <w:rsid w:val="669D5621"/>
    <w:rsid w:val="67F76100"/>
    <w:rsid w:val="699D154D"/>
    <w:rsid w:val="6B592915"/>
    <w:rsid w:val="6D165A8C"/>
    <w:rsid w:val="6D242065"/>
    <w:rsid w:val="6D9C6338"/>
    <w:rsid w:val="6DDD0CCA"/>
    <w:rsid w:val="6E232CDC"/>
    <w:rsid w:val="6FA746D0"/>
    <w:rsid w:val="70555797"/>
    <w:rsid w:val="70897467"/>
    <w:rsid w:val="71025FC0"/>
    <w:rsid w:val="73AF3A03"/>
    <w:rsid w:val="743E4454"/>
    <w:rsid w:val="75F21F62"/>
    <w:rsid w:val="76604EA1"/>
    <w:rsid w:val="77587FBA"/>
    <w:rsid w:val="79FE3C3B"/>
    <w:rsid w:val="7A6C0338"/>
    <w:rsid w:val="7C4611B3"/>
    <w:rsid w:val="7C525C29"/>
    <w:rsid w:val="7DF7A45B"/>
    <w:rsid w:val="7EBE43BD"/>
    <w:rsid w:val="7FD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index 5"/>
    <w:basedOn w:val="1"/>
    <w:next w:val="1"/>
    <w:qFormat/>
    <w:uiPriority w:val="0"/>
    <w:pPr>
      <w:ind w:left="800" w:leftChars="800"/>
    </w:pPr>
  </w:style>
  <w:style w:type="paragraph" w:styleId="4">
    <w:name w:val="Document Map"/>
    <w:basedOn w:val="1"/>
    <w:qFormat/>
    <w:uiPriority w:val="0"/>
    <w:rPr>
      <w:rFonts w:ascii="宋体"/>
      <w:sz w:val="18"/>
      <w:szCs w:val="18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6">
    <w:name w:val="toc 3"/>
    <w:basedOn w:val="1"/>
    <w:next w:val="1"/>
    <w:qFormat/>
    <w:uiPriority w:val="39"/>
    <w:rPr>
      <w:rFonts w:cs="Times New Roman"/>
    </w:rPr>
  </w:style>
  <w:style w:type="paragraph" w:styleId="7">
    <w:name w:val="Plain Text"/>
    <w:basedOn w:val="1"/>
    <w:next w:val="3"/>
    <w:qFormat/>
    <w:uiPriority w:val="0"/>
    <w:rPr>
      <w:rFonts w:ascii="宋体" w:hAnsi="Courier New"/>
    </w:rPr>
  </w:style>
  <w:style w:type="paragraph" w:styleId="8">
    <w:name w:val="Normal (Web)"/>
    <w:basedOn w:val="1"/>
    <w:qFormat/>
    <w:uiPriority w:val="0"/>
    <w:rPr>
      <w:sz w:val="24"/>
    </w:rPr>
  </w:style>
  <w:style w:type="paragraph" w:styleId="9">
    <w:name w:val="Body Text First Indent 2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宋体" w:hAnsi="宋体" w:eastAsia="宋体" w:cs="宋体"/>
      <w:kern w:val="2"/>
      <w:sz w:val="28"/>
      <w:szCs w:val="28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basedOn w:val="1"/>
    <w:qFormat/>
    <w:uiPriority w:val="0"/>
    <w:pPr>
      <w:adjustRightInd w:val="0"/>
      <w:snapToGrid w:val="0"/>
      <w:spacing w:line="600" w:lineRule="atLeast"/>
      <w:ind w:firstLine="200" w:firstLineChars="200"/>
    </w:pPr>
    <w:rPr>
      <w:rFonts w:eastAsia="仿宋_GB2312"/>
      <w:sz w:val="32"/>
    </w:rPr>
  </w:style>
  <w:style w:type="character" w:customStyle="1" w:styleId="14">
    <w:name w:val="fontstyle01"/>
    <w:qFormat/>
    <w:uiPriority w:val="0"/>
    <w:rPr>
      <w:rFonts w:hint="eastAsia" w:ascii="仿宋_GB2312" w:eastAsia="仿宋_GB2312"/>
      <w:color w:val="000000"/>
      <w:sz w:val="24"/>
      <w:szCs w:val="24"/>
    </w:rPr>
  </w:style>
  <w:style w:type="character" w:customStyle="1" w:styleId="15">
    <w:name w:val="font61"/>
    <w:basedOn w:val="12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717</Characters>
  <Lines>0</Lines>
  <Paragraphs>0</Paragraphs>
  <TotalTime>0</TotalTime>
  <ScaleCrop>false</ScaleCrop>
  <LinksUpToDate>false</LinksUpToDate>
  <CharactersWithSpaces>730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2022-01-17T09:14:00Z</dcterms:created>
  <dc:creator>雁过留声</dc:creator>
  <cp:lastModifiedBy>袁珊</cp:lastModifiedBy>
  <cp:lastPrinted>2022-01-19T08:42:00Z</cp:lastPrinted>
  <dcterms:modified xsi:type="dcterms:W3CDTF">2023-11-24T09:19:13Z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2D7DC2E98BD24984ADD227DE05EDAE69_12</vt:lpwstr>
  </property>
</Properties>
</file>