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四川省红原县、马尔康县新康猫金矿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详查施方案评审意见书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2023年11月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日</w:t>
      </w:r>
    </w:p>
    <w:p>
      <w:pPr>
        <w:rPr>
          <w:rFonts w:ascii="Times New Roman" w:hAnsi="Times New Roman" w:eastAsia="仿宋_GB2312" w:cs="Times New Roman"/>
          <w:b/>
          <w:szCs w:val="21"/>
        </w:rPr>
      </w:pPr>
      <w:r>
        <w:rPr>
          <w:rFonts w:ascii="Times New Roman" w:hAnsi="Times New Roman" w:eastAsia="仿宋_GB2312" w:cs="Times New Roman"/>
          <w:b/>
          <w:szCs w:val="21"/>
        </w:rPr>
        <w:br w:type="page"/>
      </w:r>
    </w:p>
    <w:tbl>
      <w:tblPr>
        <w:tblStyle w:val="9"/>
        <w:tblpPr w:leftFromText="180" w:rightFromText="180" w:vertAnchor="page" w:horzAnchor="page" w:tblpX="1864" w:tblpY="1716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70"/>
        <w:gridCol w:w="240"/>
        <w:gridCol w:w="1081"/>
        <w:gridCol w:w="1146"/>
        <w:gridCol w:w="955"/>
        <w:gridCol w:w="483"/>
        <w:gridCol w:w="1106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四川金康矿业有限公司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编制单位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四川省地质矿产勘查开发局化探队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方案主编人员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张立伟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赵  伟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毛  莉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评审专家组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组长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>柏万灵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成员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：胡夕鹏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胡夕鹏 刘图强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评审方式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: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>会审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评审时间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2023年10月19日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评审会议地点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成都市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napToGrid w:val="0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napToGrid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Cs w:val="32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napToGrid w:val="0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br w:type="page"/>
      </w:r>
    </w:p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项目概况简表</w:t>
      </w:r>
    </w:p>
    <w:tbl>
      <w:tblPr>
        <w:tblStyle w:val="10"/>
        <w:tblpPr w:leftFromText="180" w:rightFromText="180" w:vertAnchor="page" w:horzAnchor="page" w:tblpX="1852" w:tblpY="21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745"/>
        <w:gridCol w:w="1909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项目名称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四川省红原县、马尔康县新康猫金矿详查实施方案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申请单位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四川金康矿业有限公司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勘查单位</w:t>
            </w:r>
          </w:p>
        </w:tc>
        <w:tc>
          <w:tcPr>
            <w:tcW w:w="70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四川省地质矿产勘查开发局化探队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项目所在省市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四川省阿坝州</w:t>
            </w: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编制目的</w:t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探矿权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勘查矿种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金矿</w:t>
            </w: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勘查面积</w:t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24.5432km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勘查阶段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详查</w:t>
            </w:r>
          </w:p>
        </w:tc>
        <w:tc>
          <w:tcPr>
            <w:tcW w:w="1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预算经费（万元）</w:t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1264.53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勘查范围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拐点坐标</w:t>
            </w:r>
          </w:p>
        </w:tc>
        <w:tc>
          <w:tcPr>
            <w:tcW w:w="7001" w:type="dxa"/>
            <w:gridSpan w:val="3"/>
          </w:tcPr>
          <w:tbl>
            <w:tblPr>
              <w:tblStyle w:val="9"/>
              <w:tblW w:w="4998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"/>
              <w:gridCol w:w="1534"/>
              <w:gridCol w:w="1432"/>
              <w:gridCol w:w="425"/>
              <w:gridCol w:w="1535"/>
              <w:gridCol w:w="14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313" w:type="pct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拐点号</w:t>
                  </w:r>
                </w:p>
              </w:tc>
              <w:tc>
                <w:tcPr>
                  <w:tcW w:w="2186" w:type="pct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2000</w:t>
                  </w:r>
                  <w:r>
                    <w:rPr>
                      <w:rStyle w:val="20"/>
                      <w:rFonts w:hint="default" w:ascii="Times New Roman" w:hAnsi="Times New Roman" w:cs="Times New Roman"/>
                      <w:sz w:val="21"/>
                      <w:szCs w:val="21"/>
                      <w:lang w:val="en-US" w:eastAsia="zh-CN" w:bidi="ar"/>
                    </w:rPr>
                    <w:t>国家大地坐标系</w:t>
                  </w:r>
                </w:p>
              </w:tc>
              <w:tc>
                <w:tcPr>
                  <w:tcW w:w="313" w:type="pct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拐点号</w:t>
                  </w:r>
                </w:p>
              </w:tc>
              <w:tc>
                <w:tcPr>
                  <w:tcW w:w="2186" w:type="pct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2000</w:t>
                  </w:r>
                  <w:r>
                    <w:rPr>
                      <w:rStyle w:val="20"/>
                      <w:rFonts w:hint="default" w:ascii="Times New Roman" w:hAnsi="Times New Roman" w:cs="Times New Roman"/>
                      <w:sz w:val="21"/>
                      <w:szCs w:val="21"/>
                      <w:lang w:val="en-US" w:eastAsia="zh-CN" w:bidi="ar"/>
                    </w:rPr>
                    <w:t>国家大地坐标系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13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105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北纬</w:t>
                  </w:r>
                </w:p>
              </w:tc>
              <w:tc>
                <w:tcPr>
                  <w:tcW w:w="313" w:type="pct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105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北纬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102°26′01.000″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32°08′42.000″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102°32′29.000″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32°05′02.000″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102°27′31.000″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32°08′42.000″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102°30′01.000″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32°05′02.000″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102°27′31.000″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32°08′14.000″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102°30′01.000″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32°05′15.000″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102°27′45.000″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32°08′14.000″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102°29′15.000″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32°05′16.000″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102°27′45.000″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32°07′45.000″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102°29′15.000″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32°06′00.000″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102°28′46.000″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32°07′45.000″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102°28′46.000″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32°06′00.000″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102°28′46.000″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32°07′16.000″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102°28′46.000″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32°06′46.000″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102°30′15.000″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32°07′15.000″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102°27′30.000″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32°06′46.000″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102°30′15.000″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32°06′45.000″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102°27′30.000″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32°07′15.000″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102°30′59.000″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32°06′45.000″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102°27′15.000″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32°07′15.000″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102°30′59.000″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32°06′15.000″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102°27′15.000″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32°07′30.000″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102°31′59.000″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32°06′15.000″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102°26′45.000″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32°07′30.000″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102°31′59.000″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32°05′44.000″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102°26′45.000″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32°07′51.000″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102°32′29.000″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32°05′43.000″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102°26′01.000″</w:t>
                  </w:r>
                </w:p>
              </w:tc>
              <w:tc>
                <w:tcPr>
                  <w:tcW w:w="105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21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32°07′51.000″</w:t>
                  </w:r>
                </w:p>
              </w:tc>
            </w:tr>
          </w:tbl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目的任务</w:t>
            </w:r>
          </w:p>
        </w:tc>
        <w:tc>
          <w:tcPr>
            <w:tcW w:w="70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对主要矿体进行系统控制和研究，探求控制+推断金矿资源储，开展实验室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选冶</w:t>
            </w:r>
            <w:r>
              <w:rPr>
                <w:rFonts w:hint="default" w:ascii="Times New Roman" w:hAnsi="Times New Roman" w:eastAsia="仿宋_GB2312" w:cs="Times New Roman"/>
              </w:rPr>
              <w:t>流程试验，提出选矿方案，同时进行开采技术条件和矿床经济意义可行性研究。为探转采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</w:rPr>
              <w:t>下步勘探工作及矿山总体规划提供地质依据。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技术方法</w:t>
            </w:r>
          </w:p>
        </w:tc>
        <w:tc>
          <w:tcPr>
            <w:tcW w:w="70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开展1:10000水工环地质测量，基本查明矿区开采技术条件；开展1:2000地形地质修测、水工环地质测量，详细查明已发现矿体特征及其开采技术条件；以钻探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工程控制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矿体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的延伸、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倾向、品位变化情况，估算金资源量；开展实验室流程试验，提出选矿方案。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主要实物工作量</w:t>
            </w:r>
          </w:p>
        </w:tc>
        <w:tc>
          <w:tcPr>
            <w:tcW w:w="70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1:2000地形地质测量、水工环地质测量1.91km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；1：10000水工环地质测量25.54km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；取样钻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247m/</w:t>
            </w:r>
            <w:r>
              <w:rPr>
                <w:rFonts w:hint="default" w:ascii="Times New Roman" w:hAnsi="Times New Roman" w:eastAsia="仿宋_GB2312" w:cs="Times New Roman"/>
              </w:rPr>
              <w:t>15个；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岩心</w:t>
            </w:r>
            <w:r>
              <w:rPr>
                <w:rFonts w:hint="default" w:ascii="Times New Roman" w:hAnsi="Times New Roman" w:eastAsia="仿宋_GB2312" w:cs="Times New Roman"/>
              </w:rPr>
              <w:t>钻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3681m/</w:t>
            </w:r>
            <w:r>
              <w:rPr>
                <w:rFonts w:hint="default" w:ascii="Times New Roman" w:hAnsi="Times New Roman" w:eastAsia="仿宋_GB2312" w:cs="Times New Roman"/>
              </w:rPr>
              <w:t>23个；基本分析样800件，组合样25件，光谱分析样15件；抽水试验3个孔水样6件；水文地质调查水样2件；物相分析样14件；薄片60件；光片30件；小体重样60件；实验室流程试验1件。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预期成果</w:t>
            </w:r>
          </w:p>
        </w:tc>
        <w:tc>
          <w:tcPr>
            <w:tcW w:w="70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提交详查报告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及附图、附表、附件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估算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控制+推断金资源量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提交可供勘探的矿产地一处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注：此表由申请人填写。</w:t>
      </w:r>
    </w:p>
    <w:p>
      <w:pPr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因四川省红原县、马尔康县新康猫金矿探矿权延续及勘查需要，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四川金康矿业有限公司</w:t>
      </w:r>
      <w:r>
        <w:rPr>
          <w:rFonts w:ascii="Times New Roman" w:hAnsi="Times New Roman" w:eastAsia="仿宋_GB2312" w:cs="Times New Roman"/>
          <w:sz w:val="30"/>
          <w:szCs w:val="30"/>
        </w:rPr>
        <w:t>委托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四川省地质矿产勘查开发局化探队</w:t>
      </w:r>
      <w:r>
        <w:rPr>
          <w:rFonts w:ascii="Times New Roman" w:hAnsi="Times New Roman" w:eastAsia="仿宋_GB2312" w:cs="Times New Roman"/>
          <w:sz w:val="30"/>
          <w:szCs w:val="30"/>
        </w:rPr>
        <w:t>编制了《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四川省红原县、马尔康县新康猫金矿详查施方案</w:t>
      </w:r>
      <w:r>
        <w:rPr>
          <w:rFonts w:ascii="Times New Roman" w:hAnsi="Times New Roman" w:eastAsia="仿宋_GB2312" w:cs="Times New Roman"/>
          <w:sz w:val="30"/>
          <w:szCs w:val="30"/>
        </w:rPr>
        <w:t>》（以下简称《方案》），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四川省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矿产资源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储量评审中心</w:t>
      </w:r>
      <w:r>
        <w:rPr>
          <w:rFonts w:ascii="Times New Roman" w:hAnsi="Times New Roman" w:eastAsia="仿宋_GB2312" w:cs="Times New Roman"/>
          <w:sz w:val="30"/>
          <w:szCs w:val="30"/>
        </w:rPr>
        <w:t>组织专家对《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ascii="Times New Roman" w:hAnsi="Times New Roman" w:eastAsia="仿宋_GB2312" w:cs="Times New Roman"/>
          <w:sz w:val="30"/>
          <w:szCs w:val="30"/>
        </w:rPr>
        <w:t>》进行了审查，编制单位按照专家意见对《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ascii="Times New Roman" w:hAnsi="Times New Roman" w:eastAsia="仿宋_GB2312" w:cs="Times New Roman"/>
          <w:sz w:val="30"/>
          <w:szCs w:val="30"/>
        </w:rPr>
        <w:t>》进行了修改完善，经专家组复核，形成评审意见如下。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一、地理位置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勘查区位于红原县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城</w:t>
      </w:r>
      <w:r>
        <w:rPr>
          <w:rFonts w:hint="eastAsia" w:ascii="仿宋_GB2312" w:hAnsi="宋体" w:eastAsia="仿宋_GB2312"/>
          <w:sz w:val="28"/>
          <w:szCs w:val="28"/>
        </w:rPr>
        <w:t>190°方向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距离95km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的刷金寺镇，勘查区</w:t>
      </w:r>
      <w:r>
        <w:rPr>
          <w:rFonts w:hint="eastAsia" w:ascii="仿宋_GB2312" w:hAnsi="宋体" w:eastAsia="仿宋_GB2312"/>
          <w:sz w:val="28"/>
          <w:szCs w:val="28"/>
        </w:rPr>
        <w:t>东部5km有213国道通过，并与壤口～黑水支线公路相连，距马尔康70km，交通较方便。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四川金康矿业有限公司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于2002年6</w:t>
      </w:r>
      <w:r>
        <w:rPr>
          <w:rFonts w:hint="eastAsia" w:ascii="仿宋_GB2312" w:hAnsi="宋体" w:eastAsia="仿宋_GB2312"/>
          <w:sz w:val="28"/>
          <w:szCs w:val="28"/>
        </w:rPr>
        <w:t>月以申请在先的方式初次获得</w:t>
      </w:r>
      <w:r>
        <w:rPr>
          <w:rFonts w:hint="eastAsia" w:ascii="仿宋_GB2312" w:hAnsi="宋体" w:eastAsia="仿宋_GB2312"/>
          <w:bCs/>
          <w:sz w:val="28"/>
          <w:szCs w:val="28"/>
        </w:rPr>
        <w:t>该探矿权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经探矿权多次延续变更，现勘查许可证号为</w:t>
      </w:r>
      <w:r>
        <w:rPr>
          <w:rFonts w:ascii="仿宋_GB2312" w:hAnsi="宋体" w:eastAsia="仿宋_GB2312"/>
          <w:sz w:val="28"/>
          <w:szCs w:val="28"/>
        </w:rPr>
        <w:t>T5100002008074010011305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有效期限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>自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2018年9月30日至2023年9月30日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勘</w:t>
      </w:r>
      <w:r>
        <w:rPr>
          <w:rFonts w:hint="eastAsia" w:ascii="仿宋_GB2312" w:hAnsi="宋体" w:eastAsia="仿宋_GB2312"/>
          <w:sz w:val="28"/>
          <w:szCs w:val="28"/>
        </w:rPr>
        <w:t>查矿种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为</w:t>
      </w:r>
      <w:r>
        <w:rPr>
          <w:rFonts w:hint="eastAsia" w:ascii="仿宋_GB2312" w:hAnsi="宋体" w:eastAsia="仿宋_GB2312"/>
          <w:sz w:val="28"/>
          <w:szCs w:val="28"/>
        </w:rPr>
        <w:t>金矿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勘查区由22个拐点圈闭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拐点坐标见下表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），</w:t>
      </w:r>
      <w:r>
        <w:rPr>
          <w:rFonts w:hint="eastAsia" w:ascii="仿宋_GB2312" w:hAnsi="宋体" w:eastAsia="仿宋_GB2312"/>
          <w:sz w:val="28"/>
          <w:szCs w:val="28"/>
        </w:rPr>
        <w:t>面积30.8884km</w:t>
      </w:r>
      <w:r>
        <w:rPr>
          <w:rFonts w:hint="eastAsia" w:ascii="仿宋_GB2312" w:hAnsi="宋体" w:eastAsia="仿宋_GB2312"/>
          <w:sz w:val="28"/>
          <w:szCs w:val="28"/>
          <w:vertAlign w:val="superscript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tbl>
      <w:tblPr>
        <w:tblStyle w:val="9"/>
        <w:tblW w:w="86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97"/>
        <w:gridCol w:w="1705"/>
        <w:gridCol w:w="902"/>
        <w:gridCol w:w="1724"/>
        <w:gridCol w:w="1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拐点编号</w:t>
            </w:r>
          </w:p>
        </w:tc>
        <w:tc>
          <w:tcPr>
            <w:tcW w:w="35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2000国家大地坐标系</w:t>
            </w:r>
          </w:p>
        </w:tc>
        <w:tc>
          <w:tcPr>
            <w:tcW w:w="90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拐点编号</w:t>
            </w:r>
          </w:p>
        </w:tc>
        <w:tc>
          <w:tcPr>
            <w:tcW w:w="34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2000国家大地坐标系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纬度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经度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纬度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102°26′01.000"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32°08′42.000"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102°32′29.000"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32°05′43.000"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102°27′31.000"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32°08′42.000"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102°32′29.000"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32°05′02.000"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102°27′31.000"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32°08′14.000"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102°30′01.000"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32°05′02.000"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102°28′46.000"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32°08′14.000"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102°30′01.000"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32°05′15.000"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102°28′46.000"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32°07′16.000"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102°28′46.000"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32°05′16.000"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102°30′31.000"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32°07′15.000"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102°28′46.000"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32°06′46.000"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102°30′31.000"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32°06′45.000"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102°26′01.000"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32°06′46.000"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102°30′59.000"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32°06′45.000"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102°26′01.000"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32°07′35.000"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102°30′59.000"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32°06′15.000"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102°26′20.000"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32°07′35.000"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102°31′59.000"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32°06′15.000"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102°26′20.000"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32°07′51.000"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9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102°31′59.000"</w:t>
            </w:r>
          </w:p>
        </w:tc>
        <w:tc>
          <w:tcPr>
            <w:tcW w:w="170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32°05′44.000"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102°26′01.000"</w:t>
            </w:r>
          </w:p>
        </w:tc>
        <w:tc>
          <w:tcPr>
            <w:tcW w:w="1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32°07′51.000"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拟延续后的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探矿权面积为</w:t>
      </w:r>
      <w:r>
        <w:rPr>
          <w:rFonts w:ascii="仿宋_GB2312" w:hAnsi="宋体" w:eastAsia="仿宋_GB2312"/>
          <w:sz w:val="28"/>
          <w:szCs w:val="28"/>
        </w:rPr>
        <w:t>24.5432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km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缩小</w:t>
      </w:r>
      <w:r>
        <w:rPr>
          <w:rFonts w:ascii="仿宋_GB2312" w:hAnsi="宋体" w:eastAsia="仿宋_GB2312"/>
          <w:sz w:val="28"/>
          <w:szCs w:val="28"/>
        </w:rPr>
        <w:t>20.</w:t>
      </w:r>
      <w:r>
        <w:rPr>
          <w:rFonts w:hint="eastAsia" w:ascii="仿宋_GB2312" w:hAnsi="宋体" w:eastAsia="仿宋_GB2312"/>
          <w:sz w:val="28"/>
          <w:szCs w:val="28"/>
        </w:rPr>
        <w:t>54%</w:t>
      </w: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，由2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个拐点圈闭（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拐点坐标见下表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）。</w:t>
      </w:r>
    </w:p>
    <w:tbl>
      <w:tblPr>
        <w:tblStyle w:val="9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52"/>
        <w:gridCol w:w="1828"/>
        <w:gridCol w:w="790"/>
        <w:gridCol w:w="175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拐点编号</w:t>
            </w:r>
          </w:p>
        </w:tc>
        <w:tc>
          <w:tcPr>
            <w:tcW w:w="358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2000国家大地坐标系</w:t>
            </w:r>
          </w:p>
        </w:tc>
        <w:tc>
          <w:tcPr>
            <w:tcW w:w="79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拐点编号</w:t>
            </w:r>
          </w:p>
        </w:tc>
        <w:tc>
          <w:tcPr>
            <w:tcW w:w="3542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2000国家大地坐标系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纬度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经度</w:t>
            </w: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纬度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32°08′42.000″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102°26′01.000″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32°05′02.000″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102°32′29.000″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32°08′42.000″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102°27′31.000″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32°05′02.000″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102°30′01.000″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32°08′14.000″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102°27′31.000″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32°05′15.000″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102°30′01.000″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32°08′14.000″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102°27′45.000″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32°05′16.000″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102°29′15.000″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32°07′45.000″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102°27′45.000″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32°06′00.000″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102°29′15.000″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32°07′45.000″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102°28′46.000″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32°06′00.000″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102°28′46.000″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32°07′16.000″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102°28′46.000″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32°06′46.000″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102°28′46.000″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32°07′15.000″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102°30′15.000″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32°06′46.000″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102°27′30.000″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32°06′45.000″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102°30′15.000″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32°07′15.000″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102°27′30.000″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32°06′45.000″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102°30′59.000″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32°07′15.000″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102°27′15.000″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32°06′15.000″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102°30′59.000″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32°07′30.000″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102°27′15.000″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32°06′15.000″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102°31′59.000″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32°07′30.000″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102°26′45.000″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32°05′44.000″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102°31′59.000″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32°07′51.000″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102°26′45.000″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75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32°05′43.000″</w:t>
            </w:r>
          </w:p>
        </w:tc>
        <w:tc>
          <w:tcPr>
            <w:tcW w:w="182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102°32′29.000″</w:t>
            </w:r>
          </w:p>
        </w:tc>
        <w:tc>
          <w:tcPr>
            <w:tcW w:w="79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175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32°07′51.000″</w:t>
            </w:r>
          </w:p>
        </w:tc>
        <w:tc>
          <w:tcPr>
            <w:tcW w:w="178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102°26′01.000″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1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12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24.5432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ascii="黑体" w:hAnsi="黑体" w:eastAsia="黑体" w:cs="黑体"/>
          <w:sz w:val="30"/>
          <w:szCs w:val="30"/>
        </w:rPr>
        <w:t>、审查意见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ascii="Times New Roman" w:hAnsi="Times New Roman" w:eastAsia="仿宋_GB2312" w:cs="Times New Roman"/>
          <w:sz w:val="30"/>
          <w:szCs w:val="30"/>
        </w:rPr>
        <w:t>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系统收集、利用工作区以往勘查工作成果基础上编制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编制依据充分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勘查区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地质工作尚未完全达到普查要求，按详查部署勘查工作符合规范及工作区实际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钻探等主要技术工作设计依据较充分。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2.以地质测量、专项水工环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地质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测量，取样钻、岩心钻探，分析测试、矿石选（冶）试验为主要技术手段，技术手段和勘查方法合理，技术要求符合现行技术标准、规范。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按金矿Ⅱ勘查类型，以80m×80m基本工程间距布置钻探工程，探求控制资源量，以160m×160m稀疏工程间距布置钻探工程，探求推断资源量。勘查工作部署、设计主要实物工作量较为合理。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0"/>
          <w:szCs w:val="30"/>
        </w:rPr>
        <w:t>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项目主要组织管理机构健全，项目成员专业结构较合理，质量保证措施得当。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Ansi="仿宋" w:eastAsia="仿宋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.</w:t>
      </w:r>
      <w:r>
        <w:rPr>
          <w:rFonts w:hint="eastAsia" w:hAnsi="仿宋" w:eastAsia="仿宋" w:cs="Times New Roman"/>
          <w:sz w:val="30"/>
          <w:szCs w:val="30"/>
        </w:rPr>
        <w:t>经费预算工作量与设计工作量相符，预算编制及各种费用的取费符合中国地质调查局《地质调查项目预算标准（2021）》及相关规定。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</w:t>
      </w:r>
      <w:r>
        <w:rPr>
          <w:rFonts w:ascii="黑体" w:hAnsi="黑体" w:eastAsia="黑体" w:cs="黑体"/>
          <w:sz w:val="30"/>
          <w:szCs w:val="30"/>
        </w:rPr>
        <w:t>、存在问题与建议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Ansi="仿宋" w:eastAsia="仿宋" w:cs="黑体"/>
          <w:sz w:val="30"/>
          <w:szCs w:val="30"/>
        </w:rPr>
      </w:pPr>
      <w:r>
        <w:rPr>
          <w:rFonts w:hint="eastAsia" w:hAnsi="仿宋" w:eastAsia="仿宋" w:cs="黑体"/>
          <w:sz w:val="30"/>
          <w:szCs w:val="30"/>
        </w:rPr>
        <w:t>1.详查过程中，应加强综合研究，进一步查明矿体及控矿构造产状变化，并补充设计钻探工程进行控制。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Ansi="仿宋" w:eastAsia="仿宋" w:cs="黑体"/>
          <w:sz w:val="30"/>
          <w:szCs w:val="30"/>
        </w:rPr>
      </w:pPr>
      <w:r>
        <w:rPr>
          <w:rFonts w:hint="eastAsia" w:hAnsi="仿宋" w:eastAsia="仿宋" w:cs="黑体"/>
          <w:sz w:val="30"/>
          <w:szCs w:val="30"/>
        </w:rPr>
        <w:t>2.</w:t>
      </w:r>
      <w:r>
        <w:rPr>
          <w:rFonts w:hint="eastAsia" w:hAnsi="仿宋" w:eastAsia="仿宋" w:cs="黑体"/>
          <w:sz w:val="30"/>
          <w:szCs w:val="30"/>
          <w:lang w:val="en-US" w:eastAsia="zh-CN"/>
        </w:rPr>
        <w:t>勘查区</w:t>
      </w:r>
      <w:r>
        <w:rPr>
          <w:rFonts w:hint="eastAsia" w:hAnsi="仿宋" w:eastAsia="仿宋" w:cs="黑体"/>
          <w:sz w:val="30"/>
          <w:szCs w:val="30"/>
        </w:rPr>
        <w:t>地质勘查程度较低，实施过程中要强化资料整理和综合研究，根据矿体特征变化，及时调整、优化钻孔设计，避免按方案机械、盲目施工。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</w:t>
      </w:r>
      <w:r>
        <w:rPr>
          <w:rFonts w:ascii="黑体" w:hAnsi="黑体" w:eastAsia="黑体" w:cs="黑体"/>
          <w:sz w:val="30"/>
          <w:szCs w:val="30"/>
        </w:rPr>
        <w:t>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收集利用了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区内勘查成果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资料，开展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了踏勘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调查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依据较充分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勘查技术方法、勘查手段、工作部署总体合理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技术要求具体可行，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主要实物工作量可满足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工作需要。经费预算有据，预算较合理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同意通过审查。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60" w:lineRule="atLeast"/>
        <w:ind w:left="900" w:hanging="900" w:hangingChars="300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附件：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《四川省红原县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val="en-US" w:eastAsia="zh-CN"/>
        </w:rPr>
        <w:t>马尔康县新康猫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金矿详查施方案》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val="en-US" w:eastAsia="zh-CN"/>
        </w:rPr>
        <w:t>评审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专家组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val="en-US" w:eastAsia="zh-CN"/>
        </w:rPr>
        <w:t>签名表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right="1120" w:firstLine="300" w:firstLineChars="100"/>
        <w:jc w:val="center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组长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2023年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</w:t>
      </w:r>
    </w:p>
    <w:p>
      <w:pPr>
        <w:spacing w:line="560" w:lineRule="atLeast"/>
        <w:ind w:left="900" w:hanging="1080" w:hangingChars="30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附件：</w:t>
      </w:r>
    </w:p>
    <w:p>
      <w:pPr>
        <w:spacing w:line="560" w:lineRule="atLeast"/>
        <w:ind w:left="900" w:hanging="1080" w:hangingChars="30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《四川省红原县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马尔康县新康猫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金矿详查施方案》</w:t>
      </w:r>
    </w:p>
    <w:p>
      <w:pPr>
        <w:spacing w:line="560" w:lineRule="atLeast"/>
        <w:ind w:left="900" w:hanging="1080" w:hangingChars="30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评审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专家组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签名表</w:t>
      </w:r>
    </w:p>
    <w:p>
      <w:pPr>
        <w:spacing w:line="560" w:lineRule="atLeast"/>
        <w:ind w:left="900" w:hanging="1080" w:hangingChars="3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drawing>
          <wp:inline distT="0" distB="0" distL="114300" distR="114300">
            <wp:extent cx="1974215" cy="8456930"/>
            <wp:effectExtent l="0" t="0" r="1270" b="6985"/>
            <wp:docPr id="1" name="图片 1" descr="10.19四川省红原县、马尔康县新康猫金矿详查实施方案(1).19四川省红原县、马尔康县新康猫金矿详查实施方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.19四川省红原县、马尔康县新康猫金矿详查实施方案(1).19四川省红原县、马尔康县新康猫金矿详查实施方案_00"/>
                    <pic:cNvPicPr>
                      <a:picLocks noChangeAspect="1"/>
                    </pic:cNvPicPr>
                  </pic:nvPicPr>
                  <pic:blipFill>
                    <a:blip r:embed="rId4"/>
                    <a:srcRect l="45476" t="6394" r="26016" b="732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74215" cy="845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jU1NDlhYmU2MWE5OTAwZmRiMWFmNDRkZjgyYWQifQ=="/>
  </w:docVars>
  <w:rsids>
    <w:rsidRoot w:val="33630667"/>
    <w:rsid w:val="000075D9"/>
    <w:rsid w:val="00054F93"/>
    <w:rsid w:val="000660A4"/>
    <w:rsid w:val="00132AAD"/>
    <w:rsid w:val="00191CCA"/>
    <w:rsid w:val="001E0E22"/>
    <w:rsid w:val="001E43B5"/>
    <w:rsid w:val="0028119D"/>
    <w:rsid w:val="002D06D2"/>
    <w:rsid w:val="003E34A5"/>
    <w:rsid w:val="003E6A30"/>
    <w:rsid w:val="004C2D5D"/>
    <w:rsid w:val="004D3C49"/>
    <w:rsid w:val="00511749"/>
    <w:rsid w:val="00570A39"/>
    <w:rsid w:val="00577F55"/>
    <w:rsid w:val="005938BA"/>
    <w:rsid w:val="005F756B"/>
    <w:rsid w:val="00646BD4"/>
    <w:rsid w:val="00695650"/>
    <w:rsid w:val="006D5892"/>
    <w:rsid w:val="00750BF4"/>
    <w:rsid w:val="00755BB9"/>
    <w:rsid w:val="007F738A"/>
    <w:rsid w:val="00805F8C"/>
    <w:rsid w:val="00833719"/>
    <w:rsid w:val="0086009A"/>
    <w:rsid w:val="0088233D"/>
    <w:rsid w:val="00901709"/>
    <w:rsid w:val="009560F7"/>
    <w:rsid w:val="00991104"/>
    <w:rsid w:val="00992332"/>
    <w:rsid w:val="009A3CDD"/>
    <w:rsid w:val="00A4408E"/>
    <w:rsid w:val="00A52D30"/>
    <w:rsid w:val="00A56300"/>
    <w:rsid w:val="00AB2A3D"/>
    <w:rsid w:val="00AD6B45"/>
    <w:rsid w:val="00B002B0"/>
    <w:rsid w:val="00BA0047"/>
    <w:rsid w:val="00BB2998"/>
    <w:rsid w:val="00BE600D"/>
    <w:rsid w:val="00C73965"/>
    <w:rsid w:val="00CA5697"/>
    <w:rsid w:val="00CC18EF"/>
    <w:rsid w:val="00CC3263"/>
    <w:rsid w:val="00D0589D"/>
    <w:rsid w:val="00D11F8F"/>
    <w:rsid w:val="00D357B0"/>
    <w:rsid w:val="00D6009E"/>
    <w:rsid w:val="00E20760"/>
    <w:rsid w:val="00E3675F"/>
    <w:rsid w:val="00EA2789"/>
    <w:rsid w:val="00EB4538"/>
    <w:rsid w:val="00ED3776"/>
    <w:rsid w:val="00ED706E"/>
    <w:rsid w:val="00FF1C9A"/>
    <w:rsid w:val="17EE2113"/>
    <w:rsid w:val="18B42547"/>
    <w:rsid w:val="1AAB5006"/>
    <w:rsid w:val="1F4C528D"/>
    <w:rsid w:val="221E4CC8"/>
    <w:rsid w:val="26247AFA"/>
    <w:rsid w:val="2DC7118A"/>
    <w:rsid w:val="33630667"/>
    <w:rsid w:val="3DE72906"/>
    <w:rsid w:val="497E2BEC"/>
    <w:rsid w:val="569C6DA8"/>
    <w:rsid w:val="59AF0BA0"/>
    <w:rsid w:val="64E21E2A"/>
    <w:rsid w:val="6B4E3A89"/>
    <w:rsid w:val="6EA34761"/>
    <w:rsid w:val="713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60" w:lineRule="exact"/>
      <w:outlineLvl w:val="0"/>
    </w:pPr>
    <w:rPr>
      <w:rFonts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outlineLvl w:val="1"/>
    </w:pPr>
    <w:rPr>
      <w:rFonts w:eastAsia="方正小标宋简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520" w:lineRule="exact"/>
      <w:outlineLvl w:val="2"/>
    </w:pPr>
    <w:rPr>
      <w:rFonts w:eastAsia="黑体"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ascii="仿宋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2"/>
    <w:qFormat/>
    <w:uiPriority w:val="0"/>
    <w:rPr>
      <w:rFonts w:eastAsia="方正小标宋简体" w:asciiTheme="minorHAnsi" w:hAnsiTheme="minorHAnsi"/>
      <w:bCs/>
      <w:kern w:val="44"/>
      <w:sz w:val="32"/>
      <w:szCs w:val="44"/>
    </w:rPr>
  </w:style>
  <w:style w:type="character" w:customStyle="1" w:styleId="13">
    <w:name w:val="标题 2 Char"/>
    <w:basedOn w:val="11"/>
    <w:link w:val="3"/>
    <w:qFormat/>
    <w:uiPriority w:val="0"/>
    <w:rPr>
      <w:rFonts w:eastAsia="方正小标宋简体" w:asciiTheme="majorHAnsi" w:hAnsiTheme="majorHAnsi" w:cstheme="majorBidi"/>
      <w:bCs/>
      <w:sz w:val="30"/>
      <w:szCs w:val="32"/>
    </w:rPr>
  </w:style>
  <w:style w:type="character" w:customStyle="1" w:styleId="14">
    <w:name w:val="标题 3 Char"/>
    <w:basedOn w:val="11"/>
    <w:link w:val="4"/>
    <w:qFormat/>
    <w:uiPriority w:val="99"/>
    <w:rPr>
      <w:rFonts w:eastAsia="黑体" w:asciiTheme="minorHAnsi" w:hAnsiTheme="minorHAnsi"/>
      <w:bCs/>
      <w:sz w:val="24"/>
      <w:szCs w:val="32"/>
    </w:rPr>
  </w:style>
  <w:style w:type="paragraph" w:customStyle="1" w:styleId="15">
    <w:name w:val="设计表格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6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7">
    <w:name w:val="设计正文"/>
    <w:basedOn w:val="1"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szCs w:val="21"/>
    </w:rPr>
  </w:style>
  <w:style w:type="paragraph" w:customStyle="1" w:styleId="18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51"/>
    <w:basedOn w:val="1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1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555</Words>
  <Characters>3168</Characters>
  <Lines>26</Lines>
  <Paragraphs>7</Paragraphs>
  <TotalTime>4</TotalTime>
  <ScaleCrop>false</ScaleCrop>
  <LinksUpToDate>false</LinksUpToDate>
  <CharactersWithSpaces>3716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2023-10-22T04:25:00Z</dcterms:created>
  <dc:creator>陈燃</dc:creator>
  <cp:lastModifiedBy>飞鸟</cp:lastModifiedBy>
  <dcterms:modified xsi:type="dcterms:W3CDTF">2023-11-30T01:04:14Z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70D30E126B6D43A9B37890AD21AAADE0_13</vt:lpwstr>
  </property>
</Properties>
</file>