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783" w:hanging="783" w:hangingChars="150"/>
        <w:jc w:val="center"/>
        <w:outlineLvl w:val="0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spacing w:line="360" w:lineRule="auto"/>
        <w:ind w:left="783" w:hanging="783" w:hangingChars="150"/>
        <w:jc w:val="center"/>
        <w:outlineLvl w:val="0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spacing w:line="360" w:lineRule="auto"/>
        <w:ind w:left="660" w:hanging="540" w:hangingChars="15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四川省木里县、雅江县美沟南金铜矿</w:t>
      </w:r>
    </w:p>
    <w:p>
      <w:pPr>
        <w:spacing w:line="360" w:lineRule="auto"/>
        <w:ind w:left="780" w:hanging="540" w:hangingChars="15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普查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实施方案评审意见书</w:t>
      </w:r>
    </w:p>
    <w:p>
      <w:pPr>
        <w:spacing w:line="360" w:lineRule="auto"/>
        <w:ind w:left="315" w:hanging="316" w:hangingChars="150"/>
        <w:outlineLvl w:val="0"/>
        <w:rPr>
          <w:rFonts w:hint="default" w:ascii="Times New Roman" w:hAnsi="Times New Roman" w:eastAsia="仿宋_GB2312" w:cs="Times New Roman"/>
          <w:b/>
          <w:bCs/>
        </w:rPr>
      </w:pPr>
    </w:p>
    <w:p>
      <w:pPr>
        <w:spacing w:line="360" w:lineRule="auto"/>
        <w:ind w:left="315" w:hanging="316" w:hangingChars="150"/>
        <w:outlineLvl w:val="0"/>
        <w:rPr>
          <w:rFonts w:hint="default" w:ascii="Times New Roman" w:hAnsi="Times New Roman" w:eastAsia="仿宋_GB2312" w:cs="Times New Roman"/>
          <w:b/>
          <w:bCs/>
        </w:rPr>
      </w:pPr>
    </w:p>
    <w:p>
      <w:pPr>
        <w:spacing w:line="360" w:lineRule="auto"/>
        <w:ind w:left="315" w:hanging="316" w:hangingChars="150"/>
        <w:outlineLvl w:val="0"/>
        <w:rPr>
          <w:rFonts w:hint="default" w:ascii="Times New Roman" w:hAnsi="Times New Roman" w:eastAsia="仿宋_GB2312" w:cs="Times New Roman"/>
          <w:b/>
          <w:bCs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405" w:firstLineChars="500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1600" w:firstLineChars="500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</w:p>
    <w:p>
      <w:pPr>
        <w:spacing w:line="360" w:lineRule="auto"/>
        <w:ind w:firstLine="1600" w:firstLineChars="500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/>
          <w:bCs/>
        </w:rPr>
        <w:br w:type="page"/>
      </w:r>
    </w:p>
    <w:tbl>
      <w:tblPr>
        <w:tblStyle w:val="11"/>
        <w:tblpPr w:leftFromText="180" w:rightFromText="180" w:vertAnchor="page" w:horzAnchor="page" w:tblpX="1864" w:tblpY="1716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983"/>
        <w:gridCol w:w="259"/>
        <w:gridCol w:w="1321"/>
        <w:gridCol w:w="1106"/>
        <w:gridCol w:w="623"/>
        <w:gridCol w:w="483"/>
        <w:gridCol w:w="1106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申请单位</w:t>
            </w: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：</w:t>
            </w: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四川省金属地质调查研究所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编制单位</w:t>
            </w: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：</w:t>
            </w: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四川省金属地质调查研究所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方案主编人员</w:t>
            </w: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：</w:t>
            </w: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杨德武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王跃忠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评审专家组</w:t>
            </w:r>
          </w:p>
        </w:tc>
        <w:tc>
          <w:tcPr>
            <w:tcW w:w="330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401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组长</w:t>
            </w: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：</w:t>
            </w: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杨贵兵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401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成员</w:t>
            </w: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：</w:t>
            </w: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张文宽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周福</w:t>
            </w:r>
            <w:r>
              <w:rPr>
                <w:rFonts w:hint="default" w:ascii="Times New Roman" w:hAnsi="Times New Roman" w:cs="Times New Roman"/>
                <w:snapToGrid w:val="0"/>
                <w:sz w:val="28"/>
                <w:szCs w:val="28"/>
              </w:rPr>
              <w:t>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401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983" w:type="dxa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</w:trPr>
        <w:tc>
          <w:tcPr>
            <w:tcW w:w="1401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983" w:type="dxa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</w:trPr>
        <w:tc>
          <w:tcPr>
            <w:tcW w:w="1401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983" w:type="dxa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评审方式</w:t>
            </w: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:</w:t>
            </w: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会议评审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评审时间</w:t>
            </w: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：</w:t>
            </w: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8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评审会议地点</w:t>
            </w:r>
          </w:p>
        </w:tc>
        <w:tc>
          <w:tcPr>
            <w:tcW w:w="25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：</w:t>
            </w:r>
          </w:p>
        </w:tc>
        <w:tc>
          <w:tcPr>
            <w:tcW w:w="597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exact"/>
        </w:trPr>
        <w:tc>
          <w:tcPr>
            <w:tcW w:w="2384" w:type="dxa"/>
            <w:gridSpan w:val="2"/>
            <w:vAlign w:val="center"/>
          </w:tcPr>
          <w:p>
            <w:pPr>
              <w:ind w:firstLine="640"/>
              <w:jc w:val="distribute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259" w:type="dxa"/>
            <w:vAlign w:val="center"/>
          </w:tcPr>
          <w:p>
            <w:pPr>
              <w:ind w:firstLine="640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>：</w:t>
            </w:r>
          </w:p>
        </w:tc>
        <w:tc>
          <w:tcPr>
            <w:tcW w:w="5976" w:type="dxa"/>
            <w:gridSpan w:val="6"/>
            <w:vAlign w:val="center"/>
          </w:tcPr>
          <w:p>
            <w:pPr>
              <w:ind w:firstLine="640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br w:type="page"/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项目概况简表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351"/>
        <w:gridCol w:w="242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四川省木里县、雅江县美沟南金铜矿普查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申请单位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四川省金属地质调查研究所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勘查单位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四川省金属地质调查研究所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项目所在省市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凉山州、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甘孜州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编制目的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探矿权延续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勘查矿种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金铜矿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勘查面积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3.73km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勘查阶段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普查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预算经费（万元）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342.41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96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勘查范围</w:t>
            </w:r>
          </w:p>
          <w:p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拐点坐标</w:t>
            </w:r>
          </w:p>
        </w:tc>
        <w:tc>
          <w:tcPr>
            <w:tcW w:w="6433" w:type="dxa"/>
            <w:gridSpan w:val="3"/>
            <w:vAlign w:val="center"/>
          </w:tcPr>
          <w:tbl>
            <w:tblPr>
              <w:tblStyle w:val="11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0"/>
              <w:gridCol w:w="1214"/>
              <w:gridCol w:w="1104"/>
              <w:gridCol w:w="791"/>
              <w:gridCol w:w="1214"/>
              <w:gridCol w:w="110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拐点编号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2000国家大地坐标系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拐点编号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2000国家大地坐标系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东经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北纬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东经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北纬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100°55′19″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29°05′00″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100°56′23″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29°03′50″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100°56′23″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29°05′00″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100°55′19″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25"/>
                      <w:rFonts w:hint="default" w:ascii="Times New Roman" w:hAnsi="Times New Roman" w:cs="Times New Roman"/>
                      <w:sz w:val="22"/>
                      <w:szCs w:val="22"/>
                      <w:lang w:val="en-US" w:eastAsia="zh-CN" w:bidi="ar"/>
                    </w:rPr>
                    <w:t>29°03′50″</w:t>
                  </w:r>
                </w:p>
              </w:tc>
            </w:tr>
          </w:tbl>
          <w:p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96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目的任务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初步查明成矿地质条件、矿体分布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，初步控制主要矿体，初步查明选冶技术性能，开展概略研究，估算推断资源量，圈出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详查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价值的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范围，评价资源潜力，对下一步工作提出意见和建议。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6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技术方法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采用土壤地球化学测量、激电中梯剖面测量、1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:10000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地质测量、1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:2000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地质测量、取样钻、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岩心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钻开展本次工作。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96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主要实物工作量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激电中梯剖面测量3.6km；1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:10000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土壤地球化学测量3.73km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；1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:10000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地质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测量3.73 km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；1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:2000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地质测量0.50 km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；取样钻600m；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岩心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钻600m。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96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预期成果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提交普查地质报告及附图、附表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估算推断资源量和潜在资源量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论证普查区有无进一步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价值，圈定下步工作范围，并提出工作建议。</w:t>
            </w:r>
          </w:p>
        </w:tc>
      </w:tr>
    </w:tbl>
    <w:p>
      <w:pPr>
        <w:spacing w:before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注：此表由申请人填写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为办理探矿权延续，四川省金属地质调查研究所编制了《四川省木里县、雅江县美沟南金铜矿普查实施方案》（以下简称《方案》），四川省矿产资源储量评审中心组织专家对《方案》进行了审查，编制单位按照专家意见对《方案》进行了修改完善，经专家组复核，形成评审意见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一、地理位置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普查区地跨凉山州木里县和甘孜州雅江县，出普查区往南直距约60km与茶布朗始有公路相通，茶布朗南行约150km至木里县城，区内交通不便。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二、项目概况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四川省木里县、雅江县美沟南金铜矿探矿权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2009年12月30日由四川省冶金地质勘查局水文工程大队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在先方式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取得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后经多次延续变更，勘查许可证号为T51120091202037616，有效期限自2016年12月30日至2018年12月30日，勘查区由4个拐点圈闭（拐点坐标见下表），面积为4.69km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vertAlign w:val="baseline"/>
          <w:lang w:val="en-US" w:eastAsia="zh-CN"/>
        </w:rPr>
        <w:t>。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02"/>
        <w:gridCol w:w="1551"/>
        <w:gridCol w:w="815"/>
        <w:gridCol w:w="1810"/>
        <w:gridCol w:w="1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拐点编号</w:t>
            </w:r>
          </w:p>
        </w:tc>
        <w:tc>
          <w:tcPr>
            <w:tcW w:w="1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2000国家大地坐标系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拐点编号</w:t>
            </w:r>
          </w:p>
        </w:tc>
        <w:tc>
          <w:tcPr>
            <w:tcW w:w="2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2000国家大地坐标系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东经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北纬</w:t>
            </w: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东经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北纬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100°55′19″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29°05′00″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100°56′23″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29°03′50″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100°56′23″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29°05′00″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100°55′19″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29°03′50″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vertAlign w:val="baseline"/>
          <w:lang w:val="en-US" w:eastAsia="zh-CN"/>
        </w:rPr>
        <w:t>本次延续申请探矿权面积为3.73km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vertAlign w:val="baseline"/>
          <w:lang w:val="en-US" w:eastAsia="zh-CN"/>
        </w:rPr>
        <w:t>（缩小20.5%），由4个拐点圈闭，拐点坐标见下表。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91"/>
        <w:gridCol w:w="1556"/>
        <w:gridCol w:w="912"/>
        <w:gridCol w:w="1791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pct"/>
            <w:vMerge w:val="restart"/>
            <w:tcBorders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拐点</w:t>
            </w: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1964" w:type="pct"/>
            <w:gridSpan w:val="2"/>
            <w:tcBorders>
              <w:left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2000 </w:t>
            </w: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国家大地坐标系</w:t>
            </w:r>
          </w:p>
        </w:tc>
        <w:tc>
          <w:tcPr>
            <w:tcW w:w="535" w:type="pct"/>
            <w:vMerge w:val="restart"/>
            <w:tcBorders>
              <w:left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拐点</w:t>
            </w: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1964" w:type="pct"/>
            <w:gridSpan w:val="2"/>
            <w:tcBorders>
              <w:left w:val="single" w:color="010109" w:sz="4" w:space="0"/>
              <w:bottom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2000 </w:t>
            </w: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国家大地坐标系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5" w:type="pct"/>
            <w:vMerge w:val="continue"/>
            <w:tcBorders>
              <w:top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top w:val="single" w:color="010109" w:sz="4" w:space="0"/>
              <w:left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东经</w:t>
            </w:r>
          </w:p>
        </w:tc>
        <w:tc>
          <w:tcPr>
            <w:tcW w:w="913" w:type="pct"/>
            <w:tcBorders>
              <w:top w:val="single" w:color="010109" w:sz="4" w:space="0"/>
              <w:left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北纬</w:t>
            </w:r>
          </w:p>
        </w:tc>
        <w:tc>
          <w:tcPr>
            <w:tcW w:w="535" w:type="pct"/>
            <w:vMerge w:val="continue"/>
            <w:tcBorders>
              <w:left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1" w:type="pct"/>
            <w:tcBorders>
              <w:top w:val="single" w:color="010109" w:sz="4" w:space="0"/>
              <w:left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东经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Style w:val="2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北纬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pct"/>
            <w:tcBorders>
              <w:top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pct"/>
            <w:tcBorders>
              <w:top w:val="single" w:color="010109" w:sz="4" w:space="0"/>
              <w:left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100°55′ 19″</w:t>
            </w:r>
          </w:p>
        </w:tc>
        <w:tc>
          <w:tcPr>
            <w:tcW w:w="913" w:type="pct"/>
            <w:tcBorders>
              <w:top w:val="single" w:color="010109" w:sz="4" w:space="0"/>
              <w:left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29°05′00″</w:t>
            </w:r>
          </w:p>
        </w:tc>
        <w:tc>
          <w:tcPr>
            <w:tcW w:w="535" w:type="pct"/>
            <w:tcBorders>
              <w:top w:val="single" w:color="010109" w:sz="4" w:space="0"/>
              <w:left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1" w:type="pct"/>
            <w:tcBorders>
              <w:top w:val="single" w:color="010109" w:sz="4" w:space="0"/>
              <w:left w:val="single" w:color="010109" w:sz="4" w:space="0"/>
              <w:bottom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100°56′23″</w:t>
            </w:r>
          </w:p>
        </w:tc>
        <w:tc>
          <w:tcPr>
            <w:tcW w:w="913" w:type="pct"/>
            <w:tcBorders>
              <w:top w:val="single" w:color="010109" w:sz="4" w:space="0"/>
              <w:left w:val="single" w:color="010109" w:sz="4" w:space="0"/>
              <w:bottom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29°03′50″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pct"/>
            <w:tcBorders>
              <w:top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pct"/>
            <w:tcBorders>
              <w:top w:val="single" w:color="010109" w:sz="4" w:space="0"/>
              <w:left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100°56′23″</w:t>
            </w:r>
          </w:p>
        </w:tc>
        <w:tc>
          <w:tcPr>
            <w:tcW w:w="913" w:type="pct"/>
            <w:tcBorders>
              <w:top w:val="single" w:color="010109" w:sz="4" w:space="0"/>
              <w:left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29°05′00″</w:t>
            </w:r>
          </w:p>
        </w:tc>
        <w:tc>
          <w:tcPr>
            <w:tcW w:w="535" w:type="pct"/>
            <w:tcBorders>
              <w:top w:val="single" w:color="010109" w:sz="4" w:space="0"/>
              <w:left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1" w:type="pct"/>
            <w:tcBorders>
              <w:top w:val="single" w:color="010109" w:sz="4" w:space="0"/>
              <w:left w:val="single" w:color="010109" w:sz="4" w:space="0"/>
              <w:righ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100°55′ 19″</w:t>
            </w:r>
          </w:p>
        </w:tc>
        <w:tc>
          <w:tcPr>
            <w:tcW w:w="913" w:type="pct"/>
            <w:tcBorders>
              <w:top w:val="single" w:color="010109" w:sz="4" w:space="0"/>
              <w:left w:val="single" w:color="01010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29°03′50″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、审查意见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在充分收集区域及普查区前期地质工作的基础上，对以往地质成果进行了一定的总结和分析研究，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编制依据较充分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2.普查工作采用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1:10000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地形地质测量、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1:2000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地质草测、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1:10000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土壤地球化学测量、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1:10000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激电中梯剖面测量、取样钻、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岩心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钻等，技术路线及勘查手段选择符合矿区实际。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分五个年度实施，采用循序渐进的工作程序，通过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物探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异常查证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地质测量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矿化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体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，通过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取样钻及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岩心钻探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工程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验证并控制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矿化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体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总体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和年度工作安排部署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符合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工作量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满足勘查要求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.经费预算编制依据较充分，经费安排能够满足本次普查工作需要，预算基本合理。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.普查工作由四川省金属地质调查研究所组织实施，专业技术力量配置、经费使用等组织管理合理，质量保障措施可行，绿色勘查措施得力，安全保障措施较完备，基本能保障本项目的顺利完成。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  <w:lang w:val="en-US" w:eastAsia="zh-CN"/>
        </w:rPr>
        <w:t>四、存在问题与建议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勘查区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前期地质、物化探工作程度较低，地表未见矿体出露，建议通过加强普查区大比例尺地质、物化探工作，尽快发现金铜矿体，了解金铜矿体分布位置、形态、产状等矿化特征，指导钻探工程布置与施工，有效揭露和控制矿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  <w:lang w:val="en-US" w:eastAsia="zh-CN"/>
        </w:rPr>
        <w:t>五、结论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收集利用了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区内勘查成果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资料，开展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了踏勘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调查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编制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依据较充分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勘查技术方法、勘查手段、工作部署总体合理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技术要求具体可行，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主要实物工作量可满足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普查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工作需要。经费预算有据，预算较合理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同意通过审查。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60" w:lineRule="atLeast"/>
        <w:ind w:left="900" w:hanging="900" w:hangingChars="300"/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</w:rPr>
        <w:t>附件：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《四川省木里县、雅江县美沟南金铜矿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  <w:t>普查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施方案》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  <w:t>评审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</w:rPr>
        <w:t>专家组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  <w:t>签名表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ind w:right="1120" w:firstLine="300" w:firstLineChars="100"/>
        <w:jc w:val="center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   专家组长：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</w:t>
      </w:r>
    </w:p>
    <w:p>
      <w:pPr>
        <w:ind w:firstLine="600" w:firstLineChars="200"/>
        <w:rPr>
          <w:rFonts w:hint="default" w:ascii="Times New Roman" w:hAnsi="Times New Roman" w:eastAsia="仿宋_GB2312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2023年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p>
      <w:pPr>
        <w:spacing w:line="560" w:lineRule="atLeast"/>
        <w:ind w:left="900" w:hanging="1080" w:hangingChars="300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附件：</w:t>
      </w:r>
    </w:p>
    <w:p>
      <w:pPr>
        <w:spacing w:line="560" w:lineRule="atLeast"/>
        <w:ind w:left="900" w:hanging="1080" w:hangingChars="30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《四川省木里县、雅江县美沟南金铜矿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普查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施方案》</w:t>
      </w:r>
    </w:p>
    <w:p>
      <w:pPr>
        <w:spacing w:line="560" w:lineRule="atLeast"/>
        <w:ind w:left="900" w:hanging="1080" w:hangingChars="30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评审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专家组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签名表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drawing>
          <wp:inline distT="0" distB="0" distL="114300" distR="114300">
            <wp:extent cx="1908175" cy="7954645"/>
            <wp:effectExtent l="0" t="0" r="635" b="12065"/>
            <wp:docPr id="1" name="图片 1" descr="9.15四川省木里县、雅江县美沟南金铜矿普查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.15四川省木里县、雅江县美沟南金铜矿普查_00"/>
                    <pic:cNvPicPr>
                      <a:picLocks noChangeAspect="1"/>
                    </pic:cNvPicPr>
                  </pic:nvPicPr>
                  <pic:blipFill>
                    <a:blip r:embed="rId5"/>
                    <a:srcRect l="43861" t="6641" r="26752" b="678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08175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520" w:lineRule="exact"/>
        <w:ind w:firstLine="600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</w:p>
    <w:sectPr>
      <w:pgSz w:w="15840" w:h="12240" w:orient="landscape"/>
      <w:pgMar w:top="1797" w:right="1440" w:bottom="1797" w:left="144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jU1NDlhYmU2MWE5OTAwZmRiMWFmNDRkZjgyYWQifQ=="/>
  </w:docVars>
  <w:rsids>
    <w:rsidRoot w:val="33630667"/>
    <w:rsid w:val="000F70A4"/>
    <w:rsid w:val="001211C5"/>
    <w:rsid w:val="00182536"/>
    <w:rsid w:val="00191C9C"/>
    <w:rsid w:val="001949D0"/>
    <w:rsid w:val="00286019"/>
    <w:rsid w:val="0031732D"/>
    <w:rsid w:val="00391354"/>
    <w:rsid w:val="003E6AB1"/>
    <w:rsid w:val="003F23D1"/>
    <w:rsid w:val="004309FF"/>
    <w:rsid w:val="00481F42"/>
    <w:rsid w:val="004D414F"/>
    <w:rsid w:val="004E53EC"/>
    <w:rsid w:val="00604D9C"/>
    <w:rsid w:val="006311CA"/>
    <w:rsid w:val="006367A2"/>
    <w:rsid w:val="006A446B"/>
    <w:rsid w:val="006E13CD"/>
    <w:rsid w:val="007510ED"/>
    <w:rsid w:val="00767147"/>
    <w:rsid w:val="007A5516"/>
    <w:rsid w:val="007C5266"/>
    <w:rsid w:val="00867FAD"/>
    <w:rsid w:val="008B06D1"/>
    <w:rsid w:val="0093186D"/>
    <w:rsid w:val="009514FE"/>
    <w:rsid w:val="00A05021"/>
    <w:rsid w:val="00A140D7"/>
    <w:rsid w:val="00A81D28"/>
    <w:rsid w:val="00B01DF2"/>
    <w:rsid w:val="00B3429B"/>
    <w:rsid w:val="00B45A45"/>
    <w:rsid w:val="00B54A44"/>
    <w:rsid w:val="00BB4E44"/>
    <w:rsid w:val="00BD5110"/>
    <w:rsid w:val="00C15587"/>
    <w:rsid w:val="00C26F52"/>
    <w:rsid w:val="00C2711E"/>
    <w:rsid w:val="00C40F7A"/>
    <w:rsid w:val="00CA2773"/>
    <w:rsid w:val="00CA68BE"/>
    <w:rsid w:val="00CF2DEF"/>
    <w:rsid w:val="00D42400"/>
    <w:rsid w:val="00DA250A"/>
    <w:rsid w:val="00DE4CF3"/>
    <w:rsid w:val="00E72A4C"/>
    <w:rsid w:val="00EF15F2"/>
    <w:rsid w:val="00F61EEC"/>
    <w:rsid w:val="00F93AF5"/>
    <w:rsid w:val="00FF05AB"/>
    <w:rsid w:val="16D572B1"/>
    <w:rsid w:val="18B42547"/>
    <w:rsid w:val="1D8478DB"/>
    <w:rsid w:val="1F4C528D"/>
    <w:rsid w:val="1F726F9D"/>
    <w:rsid w:val="221E4CC8"/>
    <w:rsid w:val="2DC7118A"/>
    <w:rsid w:val="33630667"/>
    <w:rsid w:val="41360650"/>
    <w:rsid w:val="469417A1"/>
    <w:rsid w:val="480C6287"/>
    <w:rsid w:val="569C6DA8"/>
    <w:rsid w:val="5C9447C3"/>
    <w:rsid w:val="64E21E2A"/>
    <w:rsid w:val="68D75B87"/>
    <w:rsid w:val="720A2570"/>
    <w:rsid w:val="78C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line="560" w:lineRule="exact"/>
      <w:outlineLvl w:val="0"/>
    </w:pPr>
    <w:rPr>
      <w:rFonts w:eastAsia="方正小标宋简体"/>
      <w:kern w:val="44"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line="560" w:lineRule="exact"/>
      <w:outlineLvl w:val="1"/>
    </w:pPr>
    <w:rPr>
      <w:rFonts w:ascii="Calibri Light" w:hAnsi="Calibri Light" w:eastAsia="方正小标宋简体" w:cs="Calibri Light"/>
      <w:sz w:val="30"/>
      <w:szCs w:val="30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spacing w:line="520" w:lineRule="exact"/>
      <w:outlineLvl w:val="2"/>
    </w:pPr>
    <w:rPr>
      <w:rFonts w:eastAsia="黑体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semiHidden/>
    <w:qFormat/>
    <w:uiPriority w:val="99"/>
    <w:rPr>
      <w:rFonts w:ascii="宋体" w:cs="宋体"/>
      <w:sz w:val="18"/>
      <w:szCs w:val="18"/>
    </w:rPr>
  </w:style>
  <w:style w:type="paragraph" w:styleId="6">
    <w:name w:val="Body Text Indent"/>
    <w:basedOn w:val="1"/>
    <w:next w:val="7"/>
    <w:link w:val="17"/>
    <w:qFormat/>
    <w:uiPriority w:val="99"/>
    <w:pPr>
      <w:ind w:firstLine="538" w:firstLineChars="192"/>
    </w:pPr>
    <w:rPr>
      <w:rFonts w:ascii="宋体" w:hAnsi="宋体" w:cs="宋体"/>
      <w:sz w:val="28"/>
      <w:szCs w:val="2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link w:val="19"/>
    <w:qFormat/>
    <w:uiPriority w:val="99"/>
    <w:pPr>
      <w:ind w:firstLine="420" w:firstLineChars="200"/>
    </w:pPr>
    <w:rPr>
      <w:rFonts w:ascii="仿宋" w:cs="仿宋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link w:val="2"/>
    <w:qFormat/>
    <w:locked/>
    <w:uiPriority w:val="99"/>
    <w:rPr>
      <w:rFonts w:ascii="Calibri" w:hAnsi="Calibri" w:eastAsia="方正小标宋简体" w:cs="Calibri"/>
      <w:kern w:val="44"/>
      <w:sz w:val="44"/>
      <w:szCs w:val="44"/>
    </w:rPr>
  </w:style>
  <w:style w:type="character" w:customStyle="1" w:styleId="15">
    <w:name w:val="标题 2 字符"/>
    <w:link w:val="3"/>
    <w:qFormat/>
    <w:locked/>
    <w:uiPriority w:val="99"/>
    <w:rPr>
      <w:rFonts w:ascii="Calibri Light" w:hAnsi="Calibri Light" w:eastAsia="方正小标宋简体" w:cs="Calibri Light"/>
      <w:sz w:val="32"/>
      <w:szCs w:val="32"/>
    </w:rPr>
  </w:style>
  <w:style w:type="character" w:customStyle="1" w:styleId="16">
    <w:name w:val="标题 3 字符"/>
    <w:link w:val="4"/>
    <w:qFormat/>
    <w:locked/>
    <w:uiPriority w:val="99"/>
    <w:rPr>
      <w:rFonts w:ascii="Calibri" w:hAnsi="Calibri" w:eastAsia="黑体" w:cs="Calibri"/>
      <w:sz w:val="32"/>
      <w:szCs w:val="32"/>
    </w:rPr>
  </w:style>
  <w:style w:type="character" w:customStyle="1" w:styleId="17">
    <w:name w:val="正文文本缩进 字符"/>
    <w:link w:val="6"/>
    <w:semiHidden/>
    <w:qFormat/>
    <w:uiPriority w:val="99"/>
    <w:rPr>
      <w:rFonts w:cs="Calibri"/>
      <w:szCs w:val="21"/>
    </w:rPr>
  </w:style>
  <w:style w:type="character" w:customStyle="1" w:styleId="18">
    <w:name w:val="页脚 字符"/>
    <w:link w:val="7"/>
    <w:semiHidden/>
    <w:qFormat/>
    <w:uiPriority w:val="99"/>
    <w:rPr>
      <w:rFonts w:cs="Calibri"/>
      <w:sz w:val="18"/>
      <w:szCs w:val="18"/>
    </w:rPr>
  </w:style>
  <w:style w:type="character" w:customStyle="1" w:styleId="19">
    <w:name w:val="正文文本首行缩进 2 字符"/>
    <w:link w:val="10"/>
    <w:qFormat/>
    <w:locked/>
    <w:uiPriority w:val="99"/>
    <w:rPr>
      <w:rFonts w:ascii="仿宋" w:hAnsi="宋体" w:cs="仿宋"/>
      <w:kern w:val="2"/>
      <w:sz w:val="24"/>
      <w:szCs w:val="24"/>
    </w:rPr>
  </w:style>
  <w:style w:type="character" w:customStyle="1" w:styleId="20">
    <w:name w:val="页眉 字符"/>
    <w:link w:val="9"/>
    <w:qFormat/>
    <w:locked/>
    <w:uiPriority w:val="99"/>
    <w:rPr>
      <w:kern w:val="2"/>
      <w:sz w:val="18"/>
      <w:szCs w:val="18"/>
    </w:rPr>
  </w:style>
  <w:style w:type="paragraph" w:customStyle="1" w:styleId="21">
    <w:name w:val="0"/>
    <w:basedOn w:val="1"/>
    <w:qFormat/>
    <w:uiPriority w:val="99"/>
    <w:pPr>
      <w:widowControl/>
      <w:snapToGrid w:val="0"/>
      <w:spacing w:line="360" w:lineRule="auto"/>
      <w:ind w:hanging="1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22">
    <w:name w:val="15"/>
    <w:qFormat/>
    <w:uiPriority w:val="99"/>
    <w:rPr>
      <w:rFonts w:ascii="仿宋_GB2312" w:eastAsia="仿宋_GB2312" w:cs="仿宋_GB2312"/>
      <w:b/>
      <w:bCs/>
      <w:sz w:val="32"/>
      <w:szCs w:val="32"/>
    </w:rPr>
  </w:style>
  <w:style w:type="character" w:customStyle="1" w:styleId="23">
    <w:name w:val="文档结构图 字符"/>
    <w:link w:val="5"/>
    <w:qFormat/>
    <w:locked/>
    <w:uiPriority w:val="99"/>
    <w:rPr>
      <w:rFonts w:ascii="宋体" w:eastAsia="宋体" w:cs="宋体"/>
      <w:kern w:val="2"/>
      <w:sz w:val="18"/>
      <w:szCs w:val="18"/>
    </w:rPr>
  </w:style>
  <w:style w:type="character" w:customStyle="1" w:styleId="24">
    <w:name w:val="日期 字符"/>
    <w:link w:val="8"/>
    <w:semiHidden/>
    <w:qFormat/>
    <w:uiPriority w:val="99"/>
    <w:rPr>
      <w:rFonts w:cs="Calibri"/>
      <w:szCs w:val="21"/>
    </w:rPr>
  </w:style>
  <w:style w:type="character" w:customStyle="1" w:styleId="25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2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374</Words>
  <Characters>2133</Characters>
  <Lines>17</Lines>
  <Paragraphs>5</Paragraphs>
  <TotalTime>18</TotalTime>
  <ScaleCrop>false</ScaleCrop>
  <LinksUpToDate>false</LinksUpToDate>
  <CharactersWithSpaces>2502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2023-06-08T06:30:00Z</dcterms:created>
  <dc:creator>陈燃</dc:creator>
  <cp:lastModifiedBy>飞鸟</cp:lastModifiedBy>
  <dcterms:modified xsi:type="dcterms:W3CDTF">2023-11-30T08:01:43Z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0F97E83C1862419FA004FAB0C4C33031_13</vt:lpwstr>
  </property>
</Properties>
</file>