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6"/>
          <w:szCs w:val="36"/>
          <w:lang w:eastAsia="zh-CN"/>
        </w:rPr>
      </w:pPr>
      <w:r>
        <w:rPr>
          <w:rFonts w:hint="eastAsia" w:ascii="黑体" w:hAnsi="黑体" w:eastAsia="黑体" w:cs="黑体"/>
          <w:sz w:val="36"/>
          <w:szCs w:val="36"/>
          <w:lang w:eastAsia="zh-CN"/>
        </w:rPr>
        <w:t>附件</w:t>
      </w:r>
    </w:p>
    <w:p>
      <w:pPr>
        <w:pStyle w:val="2"/>
        <w:rPr>
          <w:rFonts w:hint="eastAsia"/>
        </w:rPr>
      </w:pPr>
    </w:p>
    <w:p>
      <w:pPr>
        <w:jc w:val="both"/>
        <w:rPr>
          <w:rFonts w:hint="eastAsia"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pacing w:val="-6"/>
          <w:sz w:val="36"/>
          <w:szCs w:val="36"/>
        </w:rPr>
        <w:t>四川省2022年矿山地质环境保护与土地复垦“双随机、一公开”第一阶段检查结果表</w:t>
      </w:r>
    </w:p>
    <w:tbl>
      <w:tblPr>
        <w:tblStyle w:val="4"/>
        <w:tblW w:w="14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020"/>
        <w:gridCol w:w="1444"/>
        <w:gridCol w:w="2609"/>
        <w:gridCol w:w="3053"/>
        <w:gridCol w:w="516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序号</w:t>
            </w:r>
          </w:p>
        </w:tc>
        <w:tc>
          <w:tcPr>
            <w:tcW w:w="1020"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市（州）</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县（市、区）</w:t>
            </w:r>
          </w:p>
        </w:tc>
        <w:tc>
          <w:tcPr>
            <w:tcW w:w="2609"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矿山名称</w:t>
            </w:r>
          </w:p>
        </w:tc>
        <w:tc>
          <w:tcPr>
            <w:tcW w:w="3053"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采矿权人</w:t>
            </w:r>
          </w:p>
        </w:tc>
        <w:tc>
          <w:tcPr>
            <w:tcW w:w="5168"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存在问题</w:t>
            </w:r>
          </w:p>
        </w:tc>
        <w:tc>
          <w:tcPr>
            <w:tcW w:w="803"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凉山州</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金阳县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金阳县纳川矿业有限公司汞山铅锌矿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金阳县纳川矿业有限公司</w:t>
            </w:r>
          </w:p>
        </w:tc>
        <w:tc>
          <w:tcPr>
            <w:tcW w:w="5168" w:type="dxa"/>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1.未按规定</w:t>
            </w:r>
            <w:r>
              <w:rPr>
                <w:rFonts w:hint="eastAsia" w:ascii="仿宋_GB2312" w:hAnsi="等线" w:eastAsia="仿宋_GB2312" w:cs="仿宋_GB2312"/>
                <w:i w:val="0"/>
                <w:iCs w:val="0"/>
                <w:color w:val="000000"/>
                <w:kern w:val="0"/>
                <w:sz w:val="24"/>
                <w:szCs w:val="24"/>
                <w:u w:val="none"/>
                <w:lang w:val="en-US" w:eastAsia="zh-CN" w:bidi="ar"/>
              </w:rPr>
              <w:t>计提矿山地质环境治理恢复基金</w:t>
            </w:r>
            <w:r>
              <w:rPr>
                <w:rFonts w:hint="eastAsia" w:ascii="仿宋_GB2312" w:eastAsia="仿宋_GB2312" w:cs="仿宋_GB2312"/>
                <w:i w:val="0"/>
                <w:iCs w:val="0"/>
                <w:color w:val="000000"/>
                <w:kern w:val="0"/>
                <w:sz w:val="24"/>
                <w:szCs w:val="24"/>
                <w:u w:val="none"/>
                <w:lang w:val="en-US" w:eastAsia="zh-CN" w:bidi="ar"/>
              </w:rPr>
              <w:t>（以下简称基金）</w:t>
            </w:r>
          </w:p>
          <w:p>
            <w:pPr>
              <w:keepNext w:val="0"/>
              <w:keepLines w:val="0"/>
              <w:widowControl/>
              <w:suppressLineNumbers w:val="0"/>
              <w:jc w:val="left"/>
              <w:textAlignment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凉山州</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金阳县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金阳县鑫源矿业有限公司底舒铅锌矿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金阳县鑫源矿业有限公司</w:t>
            </w:r>
          </w:p>
        </w:tc>
        <w:tc>
          <w:tcPr>
            <w:tcW w:w="5168" w:type="dxa"/>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1.未按规定</w:t>
            </w:r>
            <w:r>
              <w:rPr>
                <w:rFonts w:hint="eastAsia" w:ascii="仿宋_GB2312" w:hAnsi="等线" w:eastAsia="仿宋_GB2312" w:cs="仿宋_GB2312"/>
                <w:i w:val="0"/>
                <w:iCs w:val="0"/>
                <w:color w:val="000000"/>
                <w:kern w:val="0"/>
                <w:sz w:val="24"/>
                <w:szCs w:val="24"/>
                <w:u w:val="none"/>
                <w:lang w:val="en-US" w:eastAsia="zh-CN" w:bidi="ar"/>
              </w:rPr>
              <w:t>计提矿山地质环境治理恢复基金</w:t>
            </w:r>
            <w:r>
              <w:rPr>
                <w:rFonts w:hint="eastAsia" w:ascii="仿宋_GB2312" w:eastAsia="仿宋_GB2312" w:cs="仿宋_GB2312"/>
                <w:i w:val="0"/>
                <w:iCs w:val="0"/>
                <w:color w:val="000000"/>
                <w:kern w:val="0"/>
                <w:sz w:val="24"/>
                <w:szCs w:val="24"/>
                <w:u w:val="none"/>
                <w:lang w:val="en-US" w:eastAsia="zh-CN" w:bidi="ar"/>
              </w:rPr>
              <w:t>（以下简称基金）</w:t>
            </w:r>
          </w:p>
          <w:p>
            <w:pPr>
              <w:keepNext w:val="0"/>
              <w:keepLines w:val="0"/>
              <w:widowControl/>
              <w:suppressLineNumbers w:val="0"/>
              <w:jc w:val="left"/>
              <w:textAlignment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凉山州</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雷波县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pacing w:val="-11"/>
                <w:kern w:val="0"/>
                <w:sz w:val="24"/>
                <w:szCs w:val="24"/>
                <w:u w:val="none"/>
                <w:lang w:val="en-US" w:eastAsia="zh-CN" w:bidi="ar"/>
              </w:rPr>
              <w:t>四川省雷波兴达矿业有限责任公司坪头磷矿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四川省雷波兴达矿业有限责任公司</w:t>
            </w:r>
          </w:p>
        </w:tc>
        <w:tc>
          <w:tcPr>
            <w:tcW w:w="5168" w:type="dxa"/>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1.未按规定</w:t>
            </w:r>
            <w:r>
              <w:rPr>
                <w:rFonts w:hint="eastAsia" w:ascii="仿宋_GB2312" w:hAnsi="等线" w:eastAsia="仿宋_GB2312" w:cs="仿宋_GB2312"/>
                <w:i w:val="0"/>
                <w:iCs w:val="0"/>
                <w:color w:val="000000"/>
                <w:kern w:val="0"/>
                <w:sz w:val="24"/>
                <w:szCs w:val="24"/>
                <w:u w:val="none"/>
                <w:lang w:val="en-US" w:eastAsia="zh-CN" w:bidi="ar"/>
              </w:rPr>
              <w:t>计提矿山地质环境治理恢复基金</w:t>
            </w:r>
            <w:r>
              <w:rPr>
                <w:rFonts w:hint="eastAsia" w:ascii="仿宋_GB2312" w:eastAsia="仿宋_GB2312" w:cs="仿宋_GB2312"/>
                <w:i w:val="0"/>
                <w:iCs w:val="0"/>
                <w:color w:val="000000"/>
                <w:kern w:val="0"/>
                <w:sz w:val="24"/>
                <w:szCs w:val="24"/>
                <w:u w:val="none"/>
                <w:lang w:val="en-US" w:eastAsia="zh-CN" w:bidi="ar"/>
              </w:rPr>
              <w:t>（以下简称基金）</w:t>
            </w:r>
          </w:p>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2.矿山地质环境保护与土地复垦方案（以下简称“</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p>
            <w:pPr>
              <w:keepNext w:val="0"/>
              <w:keepLines w:val="0"/>
              <w:widowControl/>
              <w:suppressLineNumbers w:val="0"/>
              <w:jc w:val="left"/>
              <w:textAlignment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3.</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凉山州</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雷波县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雷波明信实业发展有限公司雷波县西谷溪磷矿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雷波明信实业发展有限公司</w:t>
            </w:r>
          </w:p>
        </w:tc>
        <w:tc>
          <w:tcPr>
            <w:tcW w:w="5168" w:type="dxa"/>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凉山州</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雷波县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雷波锦新矿业开发有限责任公司莫红磷矿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雷波锦新矿业开发有限责任公司</w:t>
            </w:r>
          </w:p>
        </w:tc>
        <w:tc>
          <w:tcPr>
            <w:tcW w:w="5168" w:type="dxa"/>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2.未按照矿山地质环境保护与土地复垦方案的要求履行矿山地质环境保护与土地复垦义务</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3.</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6</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乐山市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峨边彝族自治县</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峨边彝族自治县新林镇麻柳综合采矿厂大竹坝磷矿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峨边彝族自治县新林镇麻柳综合采矿厂</w:t>
            </w:r>
          </w:p>
        </w:tc>
        <w:tc>
          <w:tcPr>
            <w:tcW w:w="5168" w:type="dxa"/>
            <w:noWrap/>
            <w:vAlign w:val="center"/>
          </w:tcPr>
          <w:p>
            <w:pPr>
              <w:widowControl/>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p>
            <w:pPr>
              <w:keepNext w:val="0"/>
              <w:keepLines w:val="0"/>
              <w:widowControl/>
              <w:suppressLineNumbers w:val="0"/>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p>
            <w:pPr>
              <w:keepNext w:val="0"/>
              <w:keepLines w:val="0"/>
              <w:widowControl/>
              <w:suppressLineNumbers w:val="0"/>
              <w:jc w:val="left"/>
              <w:textAlignment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3.</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7</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乐山市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马边彝族自治县</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四川马边雨田矿业有限公司马边铜厂埂磷矿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四川马边雨田矿业有限公司</w:t>
            </w:r>
          </w:p>
        </w:tc>
        <w:tc>
          <w:tcPr>
            <w:tcW w:w="5168" w:type="dxa"/>
            <w:noWrap/>
            <w:vAlign w:val="center"/>
          </w:tcPr>
          <w:p>
            <w:pPr>
              <w:widowControl/>
              <w:jc w:val="left"/>
              <w:textAlignment w:val="center"/>
              <w:rPr>
                <w:rFonts w:hint="eastAsia" w:ascii="仿宋_GB2312" w:eastAsia="仿宋_GB2312" w:cs="仿宋_GB2312"/>
                <w:kern w:val="0"/>
                <w:sz w:val="24"/>
                <w:szCs w:val="24"/>
              </w:rPr>
            </w:pPr>
            <w:r>
              <w:rPr>
                <w:rFonts w:hint="eastAsia" w:ascii="仿宋_GB2312" w:eastAsia="仿宋_GB2312" w:cs="仿宋_GB2312"/>
                <w:i w:val="0"/>
                <w:iCs w:val="0"/>
                <w:color w:val="000000"/>
                <w:kern w:val="0"/>
                <w:sz w:val="24"/>
                <w:szCs w:val="24"/>
                <w:u w:val="none"/>
                <w:lang w:val="en-US" w:eastAsia="zh-CN" w:bidi="ar"/>
              </w:rPr>
              <w:t>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8</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乐山市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五通桥区</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四川龙霸矿业有限公司龙坝煤矿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四川龙霸矿业有限公司</w:t>
            </w:r>
          </w:p>
        </w:tc>
        <w:tc>
          <w:tcPr>
            <w:tcW w:w="5168" w:type="dxa"/>
            <w:noWrap/>
            <w:vAlign w:val="center"/>
          </w:tcPr>
          <w:p>
            <w:pPr>
              <w:widowControl/>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p>
            <w:pPr>
              <w:widowControl/>
              <w:jc w:val="left"/>
              <w:textAlignment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9</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雅安市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汉源县新合铅锌矿（周店子铅锌矿）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汉源县新合铅锌矿</w:t>
            </w:r>
          </w:p>
        </w:tc>
        <w:tc>
          <w:tcPr>
            <w:tcW w:w="5168" w:type="dxa"/>
            <w:noWrap/>
            <w:vAlign w:val="center"/>
          </w:tcPr>
          <w:p>
            <w:pPr>
              <w:widowControl/>
              <w:jc w:val="left"/>
              <w:textAlignment w:val="center"/>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10</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雅安市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汉源中泰矿业有限公司安乐铅锌矿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汉源中泰矿业有限公司</w:t>
            </w:r>
          </w:p>
        </w:tc>
        <w:tc>
          <w:tcPr>
            <w:tcW w:w="5168" w:type="dxa"/>
            <w:noWrap/>
            <w:vAlign w:val="center"/>
          </w:tcPr>
          <w:p>
            <w:pPr>
              <w:widowControl/>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11</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雅安市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汉源县志成煤业有限公司志成煤矿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汉源县志成煤业有限公司</w:t>
            </w:r>
          </w:p>
        </w:tc>
        <w:tc>
          <w:tcPr>
            <w:tcW w:w="5168" w:type="dxa"/>
            <w:noWrap/>
            <w:vAlign w:val="center"/>
          </w:tcPr>
          <w:p>
            <w:pPr>
              <w:widowControl/>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12</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雅安市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汉源县桂贤贵源东升铅锌矿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汉源县桂贤贵源东升铅锌矿（周凤梧）</w:t>
            </w:r>
          </w:p>
        </w:tc>
        <w:tc>
          <w:tcPr>
            <w:tcW w:w="5168" w:type="dxa"/>
            <w:noWrap/>
            <w:vAlign w:val="center"/>
          </w:tcPr>
          <w:p>
            <w:pPr>
              <w:widowControl/>
              <w:jc w:val="left"/>
              <w:textAlignment w:val="center"/>
              <w:rPr>
                <w:rFonts w:hint="eastAsia" w:ascii="仿宋_GB2312" w:eastAsia="仿宋_GB2312" w:cs="仿宋_GB2312"/>
                <w:kern w:val="0"/>
                <w:sz w:val="24"/>
                <w:szCs w:val="24"/>
              </w:rPr>
            </w:pPr>
            <w:r>
              <w:rPr>
                <w:rFonts w:hint="eastAsia" w:ascii="仿宋_GB2312"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13</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雅安市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spacing w:val="-6"/>
                <w:kern w:val="0"/>
                <w:sz w:val="24"/>
                <w:szCs w:val="24"/>
              </w:rPr>
              <w:t>汉源县宇星矿业有限公司万里冯家槽铅锌矿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汉源县宇星矿业有限公司</w:t>
            </w:r>
          </w:p>
        </w:tc>
        <w:tc>
          <w:tcPr>
            <w:tcW w:w="5168" w:type="dxa"/>
            <w:noWrap/>
            <w:vAlign w:val="center"/>
          </w:tcPr>
          <w:p>
            <w:pPr>
              <w:rPr>
                <w:rFonts w:hint="eastAsia" w:ascii="仿宋_GB2312" w:eastAsia="仿宋_GB2312" w:cs="仿宋_GB2312"/>
                <w:kern w:val="0"/>
                <w:sz w:val="24"/>
                <w:szCs w:val="24"/>
              </w:rPr>
            </w:pP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76"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14</w:t>
            </w:r>
          </w:p>
        </w:tc>
        <w:tc>
          <w:tcPr>
            <w:tcW w:w="1020" w:type="dxa"/>
            <w:noWrap/>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德阳市</w:t>
            </w:r>
          </w:p>
        </w:tc>
        <w:tc>
          <w:tcPr>
            <w:tcW w:w="1444" w:type="dxa"/>
            <w:noWrap/>
            <w:vAlign w:val="center"/>
          </w:tcPr>
          <w:p>
            <w:pPr>
              <w:widowControl/>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绵竹市</w:t>
            </w:r>
          </w:p>
        </w:tc>
        <w:tc>
          <w:tcPr>
            <w:tcW w:w="2609"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四川绵竹三江矿业有限公司（金红磷矿）</w:t>
            </w:r>
          </w:p>
        </w:tc>
        <w:tc>
          <w:tcPr>
            <w:tcW w:w="3053" w:type="dxa"/>
            <w:noWrap w:val="0"/>
            <w:vAlign w:val="center"/>
          </w:tcPr>
          <w:p>
            <w:pPr>
              <w:widowControl/>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kern w:val="0"/>
                <w:sz w:val="24"/>
                <w:szCs w:val="24"/>
              </w:rPr>
              <w:t>四川绵竹三江矿业有限公司</w:t>
            </w:r>
          </w:p>
        </w:tc>
        <w:tc>
          <w:tcPr>
            <w:tcW w:w="5168" w:type="dxa"/>
            <w:noWrap/>
            <w:vAlign w:val="center"/>
          </w:tcPr>
          <w:p>
            <w:pPr>
              <w:widowControl/>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p>
            <w:pPr>
              <w:widowControl/>
              <w:jc w:val="left"/>
              <w:textAlignment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2.未按规定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德阳市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绵竹市</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绵竹市清平乡磷矿（刘家地）</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绵竹市清平乡磷矿</w:t>
            </w:r>
          </w:p>
        </w:tc>
        <w:tc>
          <w:tcPr>
            <w:tcW w:w="5168" w:type="dxa"/>
            <w:noWrap/>
            <w:vAlign w:val="center"/>
          </w:tcPr>
          <w:p>
            <w:pPr>
              <w:widowControl/>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p>
            <w:pPr>
              <w:widowControl/>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lang w:val="en-US" w:eastAsia="zh-CN"/>
              </w:rPr>
              <w:t>2.</w:t>
            </w: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泸州市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古蔺县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泸州金星煤业有限公司古蔺县盛隆煤矿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泸州金星煤业有限公司</w:t>
            </w:r>
          </w:p>
        </w:tc>
        <w:tc>
          <w:tcPr>
            <w:tcW w:w="5168" w:type="dxa"/>
            <w:noWrap/>
            <w:vAlign w:val="center"/>
          </w:tcPr>
          <w:p>
            <w:pPr>
              <w:widowControl/>
              <w:textAlignment w:val="center"/>
              <w:rPr>
                <w:rFonts w:hint="eastAsia" w:ascii="仿宋_GB2312" w:hAnsi="等线" w:eastAsia="仿宋_GB2312" w:cs="仿宋_GB2312"/>
                <w:color w:val="000000"/>
                <w:kern w:val="0"/>
                <w:sz w:val="24"/>
                <w:szCs w:val="24"/>
                <w:lang w:bidi="ar"/>
              </w:rPr>
            </w:pPr>
            <w:r>
              <w:rPr>
                <w:rFonts w:hint="eastAsia" w:ascii="仿宋_GB2312" w:eastAsia="仿宋_GB2312" w:cs="仿宋_GB2312"/>
                <w:kern w:val="0"/>
                <w:sz w:val="24"/>
                <w:szCs w:val="24"/>
                <w:lang w:eastAsia="zh-CN"/>
              </w:rPr>
              <w:t>矿山地质环境保护与土地复垦档案不齐全</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泸州市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泸县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泸县鑫福煤业有限公司狐狸</w:t>
            </w:r>
            <w:r>
              <w:rPr>
                <w:rFonts w:hint="eastAsia" w:ascii="仿宋_GB2312" w:eastAsia="仿宋_GB2312" w:cs="仿宋_GB2312"/>
                <w:i w:val="0"/>
                <w:iCs w:val="0"/>
                <w:color w:val="000000"/>
                <w:kern w:val="0"/>
                <w:sz w:val="24"/>
                <w:szCs w:val="24"/>
                <w:u w:val="none"/>
                <w:lang w:val="en-US" w:eastAsia="zh-CN" w:bidi="ar"/>
              </w:rPr>
              <w:t>坡</w:t>
            </w:r>
            <w:r>
              <w:rPr>
                <w:rFonts w:hint="eastAsia" w:ascii="仿宋_GB2312" w:hAnsi="等线" w:eastAsia="仿宋_GB2312" w:cs="仿宋_GB2312"/>
                <w:i w:val="0"/>
                <w:iCs w:val="0"/>
                <w:color w:val="000000"/>
                <w:kern w:val="0"/>
                <w:sz w:val="24"/>
                <w:szCs w:val="24"/>
                <w:u w:val="none"/>
                <w:lang w:val="en-US" w:eastAsia="zh-CN" w:bidi="ar"/>
              </w:rPr>
              <w:t>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泸县鑫福煤业有限公司</w:t>
            </w:r>
          </w:p>
        </w:tc>
        <w:tc>
          <w:tcPr>
            <w:tcW w:w="5168" w:type="dxa"/>
            <w:noWrap/>
            <w:vAlign w:val="center"/>
          </w:tcPr>
          <w:p>
            <w:pPr>
              <w:widowControl/>
              <w:textAlignment w:val="center"/>
              <w:rPr>
                <w:rFonts w:hint="eastAsia" w:ascii="仿宋_GB2312" w:hAnsi="等线" w:eastAsia="仿宋_GB2312" w:cs="仿宋_GB2312"/>
                <w:color w:val="000000"/>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广元市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旺苍县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攀成钢旺苍金铁观矿业有限责任公司旺苍县金铁观磁铁矿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攀成钢旺苍金铁观矿业有限责任公司</w:t>
            </w:r>
          </w:p>
        </w:tc>
        <w:tc>
          <w:tcPr>
            <w:tcW w:w="5168" w:type="dxa"/>
            <w:noWrap/>
            <w:vAlign w:val="center"/>
          </w:tcPr>
          <w:p>
            <w:pPr>
              <w:widowControl/>
              <w:textAlignment w:val="center"/>
              <w:rPr>
                <w:rFonts w:hint="eastAsia" w:ascii="仿宋_GB2312" w:hAnsi="等线" w:eastAsia="仿宋_GB2312" w:cs="仿宋_GB2312"/>
                <w:color w:val="000000"/>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广元市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旺苍县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auto"/>
                <w:kern w:val="0"/>
                <w:sz w:val="24"/>
                <w:szCs w:val="24"/>
                <w:u w:val="none"/>
                <w:lang w:val="en-US" w:eastAsia="zh-CN" w:bidi="ar"/>
              </w:rPr>
              <w:t>四川川煤石洞沟煤业有限责任公司</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四川川煤石洞沟煤业有限责任公司</w:t>
            </w:r>
          </w:p>
        </w:tc>
        <w:tc>
          <w:tcPr>
            <w:tcW w:w="5168" w:type="dxa"/>
            <w:noWrap/>
            <w:vAlign w:val="center"/>
          </w:tcPr>
          <w:p>
            <w:pPr>
              <w:rPr>
                <w:rFonts w:hint="default" w:ascii="仿宋_GB2312" w:eastAsia="仿宋_GB2312"/>
                <w:sz w:val="24"/>
                <w:szCs w:val="24"/>
                <w:lang w:val="en"/>
              </w:rPr>
            </w:pPr>
            <w:r>
              <w:rPr>
                <w:rFonts w:hint="eastAsia" w:ascii="仿宋_GB2312" w:eastAsia="仿宋_GB2312" w:cs="仿宋_GB2312"/>
                <w:i w:val="0"/>
                <w:iCs w:val="0"/>
                <w:color w:val="000000"/>
                <w:kern w:val="0"/>
                <w:sz w:val="24"/>
                <w:szCs w:val="24"/>
                <w:u w:val="none"/>
                <w:lang w:val="en-US" w:eastAsia="zh-CN" w:bidi="ar"/>
              </w:rPr>
              <w:t>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广元市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旺苍县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旺苍县明兴煤业有限责任公司梁家山煤矿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旺苍县明兴煤业有限责任公司</w:t>
            </w:r>
          </w:p>
        </w:tc>
        <w:tc>
          <w:tcPr>
            <w:tcW w:w="5168" w:type="dxa"/>
            <w:noWrap/>
            <w:vAlign w:val="center"/>
          </w:tcPr>
          <w:p>
            <w:pPr>
              <w:widowControl/>
              <w:jc w:val="left"/>
              <w:textAlignment w:val="center"/>
              <w:rPr>
                <w:rFonts w:hint="eastAsia"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1.“</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p>
            <w:pPr>
              <w:widowControl/>
              <w:textAlignment w:val="center"/>
              <w:rPr>
                <w:rFonts w:hint="eastAsia" w:ascii="仿宋_GB2312" w:hAnsi="等线" w:eastAsia="仿宋_GB2312" w:cs="仿宋_GB2312"/>
                <w:color w:val="000000"/>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2.未按规定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宜宾市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筠连县水洋煤业有限责任公司水洋煤矿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筠连县水洋煤业有限责任公司</w:t>
            </w:r>
          </w:p>
        </w:tc>
        <w:tc>
          <w:tcPr>
            <w:tcW w:w="5168" w:type="dxa"/>
            <w:noWrap/>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宜宾市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筠连县柏香林煤业有限责任公司柏香林煤矿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筠连县柏香林煤业有限责任公司</w:t>
            </w:r>
          </w:p>
        </w:tc>
        <w:tc>
          <w:tcPr>
            <w:tcW w:w="5168" w:type="dxa"/>
            <w:noWrap/>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宜宾市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筠连县顺河煤业有限责任公司平山煤矿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筠连县顺河煤业有限责任公司</w:t>
            </w:r>
          </w:p>
        </w:tc>
        <w:tc>
          <w:tcPr>
            <w:tcW w:w="5168" w:type="dxa"/>
            <w:noWrap/>
            <w:vAlign w:val="center"/>
          </w:tcPr>
          <w:p>
            <w:pPr>
              <w:keepNext w:val="0"/>
              <w:keepLines w:val="0"/>
              <w:widowControl/>
              <w:suppressLineNumbers w:val="0"/>
              <w:jc w:val="left"/>
              <w:textAlignment w:val="center"/>
              <w:rPr>
                <w:rFonts w:ascii="仿宋_GB2312" w:hAnsi="等线" w:eastAsia="仿宋_GB2312" w:cs="仿宋_GB2312"/>
                <w:color w:val="000000"/>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未按规定</w:t>
            </w:r>
            <w:r>
              <w:rPr>
                <w:rFonts w:hint="eastAsia" w:ascii="仿宋_GB2312" w:hAnsi="等线" w:eastAsia="仿宋_GB2312" w:cs="仿宋_GB2312"/>
                <w:i w:val="0"/>
                <w:iCs w:val="0"/>
                <w:color w:val="000000"/>
                <w:kern w:val="0"/>
                <w:sz w:val="24"/>
                <w:szCs w:val="24"/>
                <w:u w:val="none"/>
                <w:lang w:val="en-US" w:eastAsia="zh-CN" w:bidi="ar"/>
              </w:rPr>
              <w:t>计提</w:t>
            </w:r>
            <w:r>
              <w:rPr>
                <w:rFonts w:hint="eastAsia" w:ascii="仿宋_GB2312" w:eastAsia="仿宋_GB2312" w:cs="仿宋_GB2312"/>
                <w:i w:val="0"/>
                <w:iCs w:val="0"/>
                <w:color w:val="000000"/>
                <w:kern w:val="0"/>
                <w:sz w:val="24"/>
                <w:szCs w:val="24"/>
                <w:u w:val="none"/>
                <w:lang w:val="en-US" w:eastAsia="zh-CN" w:bidi="ar"/>
              </w:rPr>
              <w:t>基金</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宜宾市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兴文县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四川省兴文县建设煤矿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四川省兴文县建设煤矿</w:t>
            </w:r>
          </w:p>
        </w:tc>
        <w:tc>
          <w:tcPr>
            <w:tcW w:w="5168" w:type="dxa"/>
            <w:noWrap/>
            <w:vAlign w:val="center"/>
          </w:tcPr>
          <w:p>
            <w:pPr>
              <w:widowControl/>
              <w:textAlignment w:val="center"/>
              <w:rPr>
                <w:rFonts w:hint="eastAsia" w:ascii="仿宋_GB2312" w:hAnsi="等线" w:eastAsia="仿宋_GB2312" w:cs="仿宋_GB2312"/>
                <w:color w:val="000000"/>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未按照矿山地质环境保护与土地复垦方案的要求履行矿山地质环境保护与土地复垦义务</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宜宾市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兴文县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兴文县大旗煤业有限责任公司大旗煤矿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兴文县大旗煤业有限责任公司</w:t>
            </w:r>
          </w:p>
        </w:tc>
        <w:tc>
          <w:tcPr>
            <w:tcW w:w="5168" w:type="dxa"/>
            <w:noWrap/>
            <w:vAlign w:val="center"/>
          </w:tcPr>
          <w:p>
            <w:pPr>
              <w:widowControl/>
              <w:textAlignment w:val="center"/>
              <w:rPr>
                <w:rFonts w:ascii="仿宋_GB2312" w:hAnsi="等线" w:eastAsia="仿宋_GB2312" w:cs="仿宋_GB2312"/>
                <w:kern w:val="0"/>
                <w:sz w:val="24"/>
                <w:szCs w:val="24"/>
                <w:lang w:bidi="ar"/>
              </w:rPr>
            </w:pPr>
            <w:r>
              <w:rPr>
                <w:rFonts w:hint="eastAsia" w:ascii="仿宋_GB2312"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76"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w:t>
            </w:r>
          </w:p>
        </w:tc>
        <w:tc>
          <w:tcPr>
            <w:tcW w:w="1020" w:type="dxa"/>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宜宾市</w:t>
            </w:r>
          </w:p>
        </w:tc>
        <w:tc>
          <w:tcPr>
            <w:tcW w:w="1444" w:type="dxa"/>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兴文县</w:t>
            </w:r>
          </w:p>
        </w:tc>
        <w:tc>
          <w:tcPr>
            <w:tcW w:w="2609"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兴文县富有煤业有限责任公司富有煤矿</w:t>
            </w:r>
          </w:p>
        </w:tc>
        <w:tc>
          <w:tcPr>
            <w:tcW w:w="3053" w:type="dxa"/>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兴文县富有煤业有限责任公司</w:t>
            </w:r>
          </w:p>
        </w:tc>
        <w:tc>
          <w:tcPr>
            <w:tcW w:w="5168" w:type="dxa"/>
            <w:noWrap/>
            <w:vAlign w:val="center"/>
          </w:tcPr>
          <w:p>
            <w:pPr>
              <w:widowControl/>
              <w:textAlignment w:val="center"/>
              <w:rPr>
                <w:rFonts w:hint="eastAsia" w:ascii="仿宋_GB2312" w:eastAsia="仿宋_GB2312"/>
                <w:sz w:val="24"/>
                <w:szCs w:val="24"/>
                <w:lang w:bidi="ar"/>
              </w:rPr>
            </w:pPr>
            <w:r>
              <w:rPr>
                <w:rFonts w:hint="eastAsia" w:ascii="仿宋_GB2312"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二合一”方案</w:t>
            </w:r>
            <w:r>
              <w:rPr>
                <w:rFonts w:hint="eastAsia" w:ascii="仿宋_GB2312" w:eastAsia="仿宋_GB2312" w:cs="仿宋_GB2312"/>
                <w:i w:val="0"/>
                <w:iCs w:val="0"/>
                <w:color w:val="000000"/>
                <w:kern w:val="0"/>
                <w:sz w:val="24"/>
                <w:szCs w:val="24"/>
                <w:u w:val="none"/>
                <w:lang w:val="en-US" w:eastAsia="zh-CN" w:bidi="ar"/>
              </w:rPr>
              <w:t>未报有批准权的自然资源主管部门批准</w:t>
            </w:r>
          </w:p>
        </w:tc>
        <w:tc>
          <w:tcPr>
            <w:tcW w:w="803" w:type="dxa"/>
            <w:noWrap/>
            <w:vAlign w:val="center"/>
          </w:tcPr>
          <w:p>
            <w:pPr>
              <w:rPr>
                <w:rFonts w:hint="eastAsia" w:ascii="仿宋_GB2312" w:hAnsi="等线" w:eastAsia="仿宋_GB2312" w:cs="仿宋_GB2312"/>
                <w:i w:val="0"/>
                <w:iCs w:val="0"/>
                <w:color w:val="000000"/>
                <w:sz w:val="24"/>
                <w:szCs w:val="24"/>
                <w:u w:val="none"/>
              </w:rPr>
            </w:pPr>
          </w:p>
        </w:tc>
      </w:tr>
    </w:tbl>
    <w:p>
      <w:pPr>
        <w:pStyle w:val="2"/>
        <w:rPr>
          <w:rFonts w:hint="eastAsia"/>
        </w:rPr>
        <w:sectPr>
          <w:pgSz w:w="16838" w:h="11906" w:orient="landscape"/>
          <w:pgMar w:top="1588" w:right="1871" w:bottom="1474" w:left="1701" w:header="1418" w:footer="1418" w:gutter="0"/>
          <w:cols w:space="720" w:num="1"/>
          <w:docGrid w:linePitch="312"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NzY0ZTllMWM3MmY3MTFhYmRhMzMxOTFhZjg0OGYifQ=="/>
  </w:docVars>
  <w:rsids>
    <w:rsidRoot w:val="5F49539D"/>
    <w:rsid w:val="5F49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jc w:val="both"/>
    </w:pPr>
    <w:rPr>
      <w:rFonts w:ascii="黑体" w:hAnsi="Calibri" w:eastAsia="黑体" w:cs="黑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2023-03-24T09:09:00Z</dcterms:created>
  <dc:creator>Administrator</dc:creator>
  <cp:lastModifiedBy>Administrator</cp:lastModifiedBy>
  <dcterms:modified xsi:type="dcterms:W3CDTF">2023-03-24T09:11:11Z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3A09FBABA7404C4AAC72D8BFD92B0E0B</vt:lpwstr>
  </property>
</Properties>
</file>