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eastAsia="zh-CN"/>
        </w:rPr>
        <w:t>附件</w:t>
      </w:r>
      <w:r>
        <w:rPr>
          <w:rFonts w:hint="eastAsia" w:ascii="黑体" w:hAnsi="黑体" w:eastAsia="黑体" w:cs="黑体"/>
          <w:snapToGrid w:val="0"/>
          <w:kern w:val="0"/>
          <w:sz w:val="32"/>
          <w:szCs w:val="32"/>
          <w:lang w:val="en-US" w:eastAsia="zh-CN"/>
        </w:rPr>
        <w:t>5</w:t>
      </w:r>
    </w:p>
    <w:p>
      <w:pPr>
        <w:tabs>
          <w:tab w:val="left" w:pos="540"/>
        </w:tabs>
        <w:spacing w:line="600" w:lineRule="exact"/>
        <w:jc w:val="center"/>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“川渝通办”地质灾害治理工程监理</w:t>
      </w: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甲级资质新立（延续）服务指南</w:t>
      </w:r>
    </w:p>
    <w:p>
      <w:pPr>
        <w:pStyle w:val="2"/>
        <w:adjustRightInd w:val="0"/>
        <w:snapToGrid w:val="0"/>
        <w:ind w:firstLine="0" w:firstLineChars="0"/>
        <w:jc w:val="center"/>
        <w:rPr>
          <w:rFonts w:ascii="Times New Roman" w:hAnsi="Times New Roman" w:eastAsia="方正小标宋_GBK"/>
          <w:sz w:val="32"/>
          <w:szCs w:val="32"/>
        </w:rPr>
      </w:pPr>
    </w:p>
    <w:tbl>
      <w:tblPr>
        <w:tblStyle w:val="5"/>
        <w:tblW w:w="9751" w:type="dxa"/>
        <w:jc w:val="center"/>
        <w:tblLayout w:type="fixed"/>
        <w:tblCellMar>
          <w:top w:w="0" w:type="dxa"/>
          <w:left w:w="0" w:type="dxa"/>
          <w:bottom w:w="0" w:type="dxa"/>
          <w:right w:w="0" w:type="dxa"/>
        </w:tblCellMar>
      </w:tblPr>
      <w:tblGrid>
        <w:gridCol w:w="1984"/>
        <w:gridCol w:w="7767"/>
      </w:tblGrid>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一、适用范围</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26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适用于四川省、重庆市行政区域内，</w:t>
            </w:r>
            <w:r>
              <w:rPr>
                <w:rFonts w:hint="eastAsia" w:ascii="仿宋_GB2312" w:hAnsi="仿宋_GB2312" w:eastAsia="仿宋_GB2312" w:cs="仿宋_GB2312"/>
                <w:color w:val="000000"/>
                <w:kern w:val="0"/>
                <w:sz w:val="21"/>
                <w:szCs w:val="21"/>
                <w:lang w:val="en-US" w:eastAsia="zh-CN"/>
              </w:rPr>
              <w:t>地质灾害治理工程监理甲级资质</w:t>
            </w:r>
            <w:r>
              <w:rPr>
                <w:rFonts w:hint="eastAsia" w:ascii="仿宋_GB2312" w:hAnsi="仿宋_GB2312" w:eastAsia="仿宋_GB2312" w:cs="仿宋_GB2312"/>
                <w:kern w:val="0"/>
                <w:sz w:val="21"/>
                <w:szCs w:val="21"/>
                <w:lang w:val="en-US" w:eastAsia="zh-CN"/>
              </w:rPr>
              <w:t>的新立、延续</w:t>
            </w:r>
            <w:r>
              <w:rPr>
                <w:rFonts w:hint="eastAsia" w:ascii="仿宋_GB2312" w:hAnsi="仿宋_GB2312" w:eastAsia="仿宋_GB2312" w:cs="仿宋_GB2312"/>
                <w:kern w:val="0"/>
                <w:sz w:val="21"/>
                <w:szCs w:val="21"/>
                <w:lang w:val="zh-CN" w:eastAsia="zh-CN"/>
              </w:rPr>
              <w:t>事项</w:t>
            </w:r>
            <w:r>
              <w:rPr>
                <w:rFonts w:hint="eastAsia" w:ascii="仿宋_GB2312" w:hAnsi="仿宋_GB2312" w:eastAsia="仿宋_GB2312" w:cs="仿宋_GB2312"/>
                <w:color w:val="000000"/>
                <w:kern w:val="0"/>
                <w:sz w:val="21"/>
                <w:szCs w:val="21"/>
              </w:rPr>
              <w:t>。</w:t>
            </w:r>
          </w:p>
        </w:tc>
      </w:tr>
      <w:tr>
        <w:tblPrEx>
          <w:tblCellMar>
            <w:top w:w="0" w:type="dxa"/>
            <w:left w:w="0" w:type="dxa"/>
            <w:bottom w:w="0" w:type="dxa"/>
            <w:right w:w="0"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6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二、法律依据</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top"/>
          </w:tcPr>
          <w:p>
            <w:pPr>
              <w:keepNext w:val="0"/>
              <w:keepLines w:val="0"/>
              <w:pageBreakBefore w:val="0"/>
              <w:widowControl/>
              <w:kinsoku/>
              <w:wordWrap/>
              <w:overflowPunct/>
              <w:topLinePunct w:val="0"/>
              <w:autoSpaceDE/>
              <w:autoSpaceDN/>
              <w:bidi w:val="0"/>
              <w:adjustRightInd/>
              <w:snapToGrid/>
              <w:spacing w:line="260" w:lineRule="exact"/>
              <w:ind w:firstLine="420" w:firstLineChars="20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（一）</w:t>
            </w:r>
            <w:r>
              <w:rPr>
                <w:rFonts w:hint="eastAsia" w:ascii="仿宋_GB2312" w:hAnsi="仿宋_GB2312" w:eastAsia="仿宋_GB2312" w:cs="仿宋_GB2312"/>
                <w:b w:val="0"/>
                <w:bCs w:val="0"/>
                <w:sz w:val="21"/>
                <w:szCs w:val="21"/>
              </w:rPr>
              <w:t>《地质灾害防治条例》（国务院令第394号）</w:t>
            </w: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承担专项地质灾害治理工程勘查、设计、施工和监理的单位，应当具备下列条件，经省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仿宋_GB2312" w:hAnsi="仿宋_GB2312" w:eastAsia="仿宋_GB2312" w:cs="仿宋_GB2312"/>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sz w:val="21"/>
                <w:szCs w:val="21"/>
              </w:rPr>
              <w:t>（二）</w:t>
            </w:r>
            <w:r>
              <w:rPr>
                <w:rFonts w:hint="eastAsia" w:ascii="仿宋_GB2312" w:hAnsi="仿宋_GB2312" w:eastAsia="仿宋_GB2312" w:cs="仿宋_GB2312"/>
                <w:b w:val="0"/>
                <w:bCs w:val="0"/>
                <w:sz w:val="21"/>
                <w:szCs w:val="21"/>
              </w:rPr>
              <w:t>《地质灾害防治单位资质管理办法》（自然资源部令第8号）</w:t>
            </w: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在中华人民共和国境内从事地质灾害危险性评估以及地质灾害治理工程勘查、设计、施工、监理等地质灾害防治活动的单位，应当依照本办法的规定取得地质灾害防治单位资质，并在资质等级许可的范围内从事地质灾害防治活动</w:t>
            </w:r>
            <w:r>
              <w:rPr>
                <w:rFonts w:hint="eastAsia" w:ascii="仿宋_GB2312" w:hAnsi="仿宋_GB2312" w:eastAsia="仿宋_GB2312" w:cs="仿宋_GB2312"/>
                <w:sz w:val="21"/>
                <w:szCs w:val="21"/>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自然资源部负责全国地质灾害防治单位资质工作的监督管理。省级人民政府自然资源主管部门负责本行政区域内地质灾害防治单位甲级、乙级资质的审批和监督管理</w:t>
            </w:r>
            <w:r>
              <w:rPr>
                <w:rFonts w:hint="eastAsia" w:ascii="仿宋_GB2312" w:hAnsi="仿宋_GB2312" w:eastAsia="仿宋_GB2312" w:cs="仿宋_GB2312"/>
                <w:sz w:val="21"/>
                <w:szCs w:val="21"/>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420" w:firstLineChars="200"/>
              <w:jc w:val="both"/>
              <w:textAlignment w:val="auto"/>
              <w:rPr>
                <w:rFonts w:hint="eastAsia" w:ascii="仿宋_GB2312" w:hAnsi="仿宋_GB2312" w:eastAsia="仿宋_GB2312" w:cs="仿宋_GB2312"/>
                <w:i w:val="0"/>
                <w:caps w:val="0"/>
                <w:spacing w:val="0"/>
                <w:kern w:val="2"/>
                <w:sz w:val="21"/>
                <w:szCs w:val="21"/>
                <w:shd w:val="clear" w:color="auto" w:fill="auto"/>
                <w:lang w:val="en-US" w:eastAsia="zh-CN" w:bidi="ar"/>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第十七条</w:t>
            </w:r>
            <w:r>
              <w:rPr>
                <w:rFonts w:hint="eastAsia" w:ascii="仿宋_GB2312" w:hAnsi="仿宋_GB2312" w:eastAsia="仿宋_GB2312" w:cs="仿宋_GB2312"/>
                <w:i w:val="0"/>
                <w:caps w:val="0"/>
                <w:spacing w:val="0"/>
                <w:kern w:val="2"/>
                <w:sz w:val="21"/>
                <w:szCs w:val="21"/>
                <w:shd w:val="clear" w:color="auto" w:fill="auto"/>
                <w:lang w:val="en-US" w:eastAsia="zh-CN" w:bidi="ar"/>
              </w:rPr>
              <w:t xml:space="preserve"> </w:t>
            </w: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地质灾害防治单位资质证书有效期届满需要继续从业的，地质灾害防治单位应当在有效期届满六十个工作日前向单位登记注册地的省级人民政府自然资源主管部门提出延续申请，并依照本办法第十二条有关规定提交申请材料。</w:t>
            </w: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both"/>
              <w:textAlignment w:val="auto"/>
              <w:rPr>
                <w:rFonts w:hint="eastAsia" w:ascii="仿宋_GB2312" w:hAnsi="仿宋_GB2312" w:eastAsia="仿宋_GB2312" w:cs="仿宋_GB2312"/>
                <w:sz w:val="21"/>
                <w:szCs w:val="21"/>
                <w:lang w:val="zh-CN"/>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受理延续申请的省级人民政府自然资源主管部门应当在地质灾害防治单位资质证书有效期届满前作出是否准予延续的决定；逾期未作出决定的，视为准予延续。</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三、受理机构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26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四、决定机构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26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auto" w:sz="4" w:space="0"/>
              <w:right w:val="single" w:color="000000" w:sz="4" w:space="0"/>
            </w:tcBorders>
            <w:noWrap/>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五、数量限制</w:t>
            </w:r>
          </w:p>
        </w:tc>
        <w:tc>
          <w:tcPr>
            <w:tcW w:w="7767" w:type="dxa"/>
            <w:tcBorders>
              <w:top w:val="single" w:color="000000" w:sz="4" w:space="0"/>
              <w:left w:val="single" w:color="000000" w:sz="4" w:space="0"/>
              <w:bottom w:val="single" w:color="auto" w:sz="4" w:space="0"/>
              <w:right w:val="single" w:color="000000" w:sz="4" w:space="0"/>
            </w:tcBorders>
            <w:noWrap/>
            <w:tcMar>
              <w:top w:w="113" w:type="dxa"/>
              <w:left w:w="170" w:type="dxa"/>
              <w:bottom w:w="113" w:type="dxa"/>
              <w:right w:w="170" w:type="dxa"/>
            </w:tcMar>
            <w:vAlign w:val="center"/>
          </w:tcPr>
          <w:p>
            <w:pPr>
              <w:widowControl/>
              <w:spacing w:line="26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无数量限制</w:t>
            </w:r>
          </w:p>
        </w:tc>
      </w:tr>
      <w:tr>
        <w:tblPrEx>
          <w:tblCellMar>
            <w:top w:w="0" w:type="dxa"/>
            <w:left w:w="0" w:type="dxa"/>
            <w:bottom w:w="0" w:type="dxa"/>
            <w:right w:w="0" w:type="dxa"/>
          </w:tblCellMar>
        </w:tblPrEx>
        <w:trPr>
          <w:jc w:val="center"/>
        </w:trPr>
        <w:tc>
          <w:tcPr>
            <w:tcW w:w="1984" w:type="dxa"/>
            <w:tcBorders>
              <w:top w:val="single" w:color="auto" w:sz="4" w:space="0"/>
              <w:left w:val="single" w:color="auto" w:sz="4" w:space="0"/>
              <w:bottom w:val="single" w:color="auto" w:sz="4" w:space="0"/>
              <w:right w:val="single" w:color="auto" w:sz="4" w:space="0"/>
            </w:tcBorders>
            <w:noWrap/>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六、受理条件</w:t>
            </w:r>
          </w:p>
        </w:tc>
        <w:tc>
          <w:tcPr>
            <w:tcW w:w="7767" w:type="dxa"/>
            <w:tcBorders>
              <w:top w:val="single" w:color="auto" w:sz="4" w:space="0"/>
              <w:left w:val="single" w:color="auto" w:sz="4" w:space="0"/>
              <w:bottom w:val="single" w:color="000000" w:sz="4" w:space="0"/>
              <w:right w:val="single" w:color="auto" w:sz="4" w:space="0"/>
            </w:tcBorders>
            <w:noWrap/>
            <w:tcMar>
              <w:top w:w="113" w:type="dxa"/>
              <w:left w:w="170" w:type="dxa"/>
              <w:bottom w:w="113" w:type="dxa"/>
              <w:right w:w="170" w:type="dxa"/>
            </w:tcMar>
            <w:vAlign w:val="center"/>
          </w:tcPr>
          <w:p>
            <w:pPr>
              <w:widowControl/>
              <w:spacing w:line="260" w:lineRule="exact"/>
              <w:ind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lang w:eastAsia="zh-CN"/>
              </w:rPr>
              <w:t>（一）</w:t>
            </w:r>
            <w:r>
              <w:rPr>
                <w:rFonts w:hint="eastAsia" w:ascii="仿宋_GB2312" w:hAnsi="仿宋_GB2312" w:eastAsia="仿宋_GB2312" w:cs="仿宋_GB2312"/>
                <w:sz w:val="21"/>
                <w:szCs w:val="21"/>
              </w:rPr>
              <w:t>具有企业法人或者事业单位法人资格；</w:t>
            </w:r>
          </w:p>
          <w:p>
            <w:pPr>
              <w:widowControl/>
              <w:spacing w:line="260" w:lineRule="exact"/>
              <w:ind w:firstLine="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办理资质新立的，具有已满两年的地质灾害治理工程监理单位乙级资质证书</w:t>
            </w:r>
            <w:r>
              <w:rPr>
                <w:rFonts w:hint="eastAsia" w:ascii="仿宋_GB2312" w:hAnsi="仿宋_GB2312" w:eastAsia="仿宋_GB2312" w:cs="仿宋_GB2312"/>
                <w:sz w:val="21"/>
                <w:szCs w:val="21"/>
                <w:lang w:eastAsia="zh-CN"/>
              </w:rPr>
              <w:t>；</w:t>
            </w:r>
          </w:p>
          <w:p>
            <w:pPr>
              <w:widowControl/>
              <w:spacing w:line="260" w:lineRule="exact"/>
              <w:ind w:firstLine="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办理资质延续的，具有地质灾害治理工程监理单位甲级资质证书</w:t>
            </w:r>
            <w:r>
              <w:rPr>
                <w:rFonts w:hint="eastAsia" w:ascii="仿宋_GB2312" w:hAnsi="仿宋_GB2312" w:eastAsia="仿宋_GB2312" w:cs="仿宋_GB2312"/>
                <w:sz w:val="21"/>
                <w:szCs w:val="21"/>
                <w:lang w:eastAsia="zh-CN"/>
              </w:rPr>
              <w:t>；</w:t>
            </w:r>
          </w:p>
          <w:p>
            <w:pPr>
              <w:widowControl/>
              <w:spacing w:line="260" w:lineRule="exact"/>
              <w:ind w:firstLine="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）具有</w:t>
            </w:r>
            <w:r>
              <w:rPr>
                <w:rFonts w:hint="eastAsia" w:ascii="仿宋_GB2312" w:hAnsi="仿宋_GB2312" w:eastAsia="仿宋_GB2312" w:cs="仿宋_GB2312"/>
                <w:sz w:val="21"/>
                <w:szCs w:val="21"/>
                <w:lang w:val="en-US" w:eastAsia="zh-CN"/>
              </w:rPr>
              <w:t>资源与环境类、土木水利类相关专业技术人员总数不少于三十人，其中高级、中级技术职称人员总数不少于十五人，高级技术职称人员不少于五人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单位技术负责人应当具有高级技术职称，专业技术人员中退休人员数量不超过专业技术人员最低数量要求的百分之十；</w:t>
            </w:r>
          </w:p>
          <w:p>
            <w:pPr>
              <w:widowControl/>
              <w:spacing w:line="260" w:lineRule="exact"/>
              <w:ind w:firstLine="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在申请之日前五年内应当独立承担并完成地质灾害治理工程监理项目不少于五项，完成项目总经费不少于三十万元</w:t>
            </w:r>
            <w:r>
              <w:rPr>
                <w:rFonts w:hint="eastAsia" w:ascii="仿宋_GB2312" w:hAnsi="仿宋_GB2312" w:eastAsia="仿宋_GB2312" w:cs="仿宋_GB2312"/>
                <w:i w:val="0"/>
                <w:caps w:val="0"/>
                <w:spacing w:val="0"/>
                <w:kern w:val="2"/>
                <w:sz w:val="21"/>
                <w:szCs w:val="21"/>
                <w:shd w:val="clear" w:color="auto" w:fill="auto"/>
                <w:lang w:val="en-US" w:eastAsia="zh-CN" w:bidi="ar"/>
              </w:rPr>
              <w:t>；</w:t>
            </w:r>
          </w:p>
          <w:p>
            <w:pPr>
              <w:widowControl/>
              <w:spacing w:line="260" w:lineRule="exact"/>
              <w:ind w:firstLine="0" w:firstLineChars="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）具有健全的安全管理体系和质量管理体系。</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七、申请材料目录</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（一）资质申请书（新设、延续）；</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申请人对所提交的各项材料真实性负责的承诺书</w:t>
            </w:r>
            <w:r>
              <w:rPr>
                <w:rFonts w:hint="eastAsia" w:ascii="仿宋_GB2312" w:hAnsi="仿宋_GB2312" w:eastAsia="仿宋_GB2312" w:cs="仿宋_GB2312"/>
                <w:sz w:val="21"/>
                <w:szCs w:val="21"/>
                <w:lang w:eastAsia="zh-CN"/>
              </w:rPr>
              <w:t>；</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）营业执照或者事业单位法人证书；</w:t>
            </w:r>
          </w:p>
          <w:p>
            <w:pPr>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）有关专业技术</w:t>
            </w:r>
            <w:r>
              <w:rPr>
                <w:rFonts w:hint="eastAsia" w:ascii="仿宋_GB2312" w:hAnsi="仿宋_GB2312" w:eastAsia="仿宋_GB2312" w:cs="仿宋_GB2312"/>
                <w:sz w:val="21"/>
                <w:szCs w:val="21"/>
                <w:lang w:val="zh-CN"/>
              </w:rPr>
              <w:t>人员名单、身份证、职称证书、学历证书、申请前连续三个月由本单位缴纳社会保险记录文件、技术负责人任命或聘任文件；</w:t>
            </w:r>
          </w:p>
          <w:p>
            <w:pPr>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zh-CN"/>
              </w:rPr>
              <w:t>专业技术人员中有退休人员的应提交其退休材料、聘用合同，可不提交社保缴纳材料；</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）工作业绩清单及项目合同、工程管理部门验收报告或专家评审意见；</w:t>
            </w:r>
          </w:p>
          <w:p>
            <w:pPr>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七</w:t>
            </w:r>
            <w:r>
              <w:rPr>
                <w:rFonts w:hint="eastAsia" w:ascii="仿宋_GB2312" w:hAnsi="仿宋_GB2312" w:eastAsia="仿宋_GB2312" w:cs="仿宋_GB2312"/>
                <w:sz w:val="21"/>
                <w:szCs w:val="21"/>
              </w:rPr>
              <w:t>）职业健康安全管理体系认证证书或者安全管理制度文件；</w:t>
            </w:r>
          </w:p>
          <w:p>
            <w:pPr>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八</w:t>
            </w:r>
            <w:r>
              <w:rPr>
                <w:rFonts w:hint="eastAsia" w:ascii="仿宋_GB2312" w:hAnsi="仿宋_GB2312" w:eastAsia="仿宋_GB2312" w:cs="仿宋_GB2312"/>
                <w:sz w:val="21"/>
                <w:szCs w:val="21"/>
              </w:rPr>
              <w:t>）质量管理体系认证证书或者质量管理制度文件</w:t>
            </w:r>
            <w:r>
              <w:rPr>
                <w:rFonts w:hint="eastAsia" w:ascii="仿宋_GB2312" w:hAnsi="仿宋_GB2312" w:eastAsia="仿宋_GB2312" w:cs="仿宋_GB2312"/>
                <w:sz w:val="21"/>
                <w:szCs w:val="21"/>
                <w:lang w:eastAsia="zh-CN"/>
              </w:rPr>
              <w:t>。</w:t>
            </w:r>
          </w:p>
          <w:p>
            <w:pPr>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val="0"/>
                <w:bCs w:val="0"/>
                <w:sz w:val="21"/>
                <w:szCs w:val="21"/>
              </w:rPr>
              <w:t>注：申请材料均</w:t>
            </w:r>
            <w:r>
              <w:rPr>
                <w:rFonts w:hint="eastAsia" w:ascii="仿宋_GB2312" w:hAnsi="仿宋_GB2312" w:eastAsia="仿宋_GB2312" w:cs="仿宋_GB2312"/>
                <w:sz w:val="21"/>
                <w:szCs w:val="21"/>
              </w:rPr>
              <w:t>提供电子版）</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八、办理基本流程</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申请——受理——材料流转——属地</w:t>
            </w:r>
            <w:r>
              <w:rPr>
                <w:rFonts w:hint="eastAsia" w:ascii="仿宋_GB2312" w:hAnsi="仿宋_GB2312" w:eastAsia="仿宋_GB2312" w:cs="仿宋_GB2312"/>
                <w:color w:val="auto"/>
                <w:sz w:val="21"/>
                <w:szCs w:val="21"/>
              </w:rPr>
              <w:t>系统</w:t>
            </w:r>
            <w:r>
              <w:rPr>
                <w:rFonts w:hint="eastAsia" w:ascii="仿宋_GB2312" w:hAnsi="仿宋_GB2312" w:eastAsia="仿宋_GB2312" w:cs="仿宋_GB2312"/>
                <w:color w:val="auto"/>
                <w:sz w:val="21"/>
                <w:szCs w:val="21"/>
                <w:highlight w:val="none"/>
              </w:rPr>
              <w:t>办理——制证——送达</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九、法定办结时限</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20个工作日（不含专家评审、实地核查等特殊环节）</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spacing w:val="-11"/>
                <w:kern w:val="0"/>
                <w:sz w:val="21"/>
                <w:szCs w:val="21"/>
              </w:rPr>
              <w:t>十、收费依据及标准</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不收费</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十一、结果送达</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按照申请人提交申请时选择的方式发送办理结果。（包括邮寄送达和窗口取件，</w:t>
            </w:r>
          </w:p>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选择邮寄送达的应注明收件地址、电话、姓名等信息）</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十二、审批决定证书</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地质灾害防治单位资质证书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04F11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680"/>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2023-09-20T08:49:22Z</dcterms:created>
  <dc:creator>Administrator</dc:creator>
  <cp:lastModifiedBy>Administrator</cp:lastModifiedBy>
  <dcterms:modified xsi:type="dcterms:W3CDTF">2023-09-20T08:49:33Z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38BE4F3108ED4411A0B9762E9DAB4F57_12</vt:lpwstr>
  </property>
</Properties>
</file>