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8</w:t>
      </w:r>
    </w:p>
    <w:p>
      <w:pPr>
        <w:tabs>
          <w:tab w:val="left" w:pos="540"/>
        </w:tabs>
        <w:spacing w:line="400" w:lineRule="exact"/>
        <w:jc w:val="center"/>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“川渝通办”地质灾害防治单位资质补证</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服务指南</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一、适用范围</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kern w:val="0"/>
                <w:sz w:val="21"/>
                <w:szCs w:val="21"/>
                <w:lang w:val="en-US" w:eastAsia="zh-CN"/>
              </w:rPr>
              <w:t>适用于重庆市、四川省行政区域内，地质灾害评估和治理工程勘查设计资质、地质灾害治理工程施工资质、地质灾害治理工程监理资质的补证</w:t>
            </w:r>
            <w:r>
              <w:rPr>
                <w:rFonts w:hint="eastAsia" w:ascii="仿宋_GB2312" w:hAnsi="仿宋_GB2312" w:eastAsia="仿宋_GB2312" w:cs="仿宋_GB2312"/>
                <w:color w:val="auto"/>
                <w:kern w:val="0"/>
                <w:sz w:val="21"/>
                <w:szCs w:val="21"/>
                <w:lang w:val="zh-CN" w:eastAsia="zh-CN"/>
              </w:rPr>
              <w:t>事项</w:t>
            </w:r>
            <w:r>
              <w:rPr>
                <w:rFonts w:hint="eastAsia" w:ascii="仿宋_GB2312" w:hAnsi="仿宋_GB2312" w:eastAsia="仿宋_GB2312" w:cs="仿宋_GB2312"/>
                <w:color w:val="auto"/>
                <w:kern w:val="0"/>
                <w:sz w:val="21"/>
                <w:szCs w:val="21"/>
                <w:lang w:val="en-US" w:eastAsia="zh-CN"/>
              </w:rPr>
              <w:t xml:space="preserve">。                       </w:t>
            </w:r>
          </w:p>
        </w:tc>
      </w:tr>
      <w:tr>
        <w:tblPrEx>
          <w:tblCellMar>
            <w:top w:w="0" w:type="dxa"/>
            <w:left w:w="0" w:type="dxa"/>
            <w:bottom w:w="0" w:type="dxa"/>
            <w:right w:w="0" w:type="dxa"/>
          </w:tblCellMar>
        </w:tblPrEx>
        <w:trPr>
          <w:trHeight w:val="0"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numPr>
                <w:ilvl w:val="0"/>
                <w:numId w:val="0"/>
              </w:numPr>
              <w:spacing w:line="300" w:lineRule="exac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二、法律</w:t>
            </w:r>
            <w:r>
              <w:rPr>
                <w:rFonts w:hint="eastAsia" w:ascii="仿宋_GB2312" w:hAnsi="仿宋_GB2312" w:eastAsia="仿宋_GB2312" w:cs="仿宋_GB2312"/>
                <w:color w:val="auto"/>
                <w:sz w:val="21"/>
                <w:szCs w:val="21"/>
                <w:highlight w:val="none"/>
              </w:rPr>
              <w:t>依据</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outlineLvl w:val="9"/>
              <w:rPr>
                <w:rFonts w:hint="eastAsia" w:ascii="仿宋_GB2312" w:hAnsi="仿宋_GB2312" w:eastAsia="仿宋_GB2312" w:cs="仿宋_GB2312"/>
                <w:color w:val="auto"/>
                <w:kern w:val="0"/>
                <w:sz w:val="21"/>
                <w:szCs w:val="21"/>
                <w:highlight w:val="none"/>
                <w:lang w:val="zh-CN" w:bidi="ar"/>
              </w:rPr>
            </w:pPr>
            <w:r>
              <w:rPr>
                <w:rFonts w:hint="eastAsia" w:ascii="仿宋_GB2312" w:hAnsi="仿宋_GB2312" w:eastAsia="仿宋_GB2312" w:cs="仿宋_GB2312"/>
                <w:color w:val="auto"/>
                <w:sz w:val="21"/>
                <w:szCs w:val="21"/>
                <w:lang w:val="en-US" w:eastAsia="zh-CN"/>
              </w:rPr>
              <w:t>第二十条 地质灾害防治单位资质证书遗失、损毁的，地质灾害防治单位应及时向重庆市规划和自然资源局提交申请换发新的地质灾害防治单位资质证书。</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三、受理机构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四、决定机构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五、数量限制</w:t>
            </w:r>
          </w:p>
        </w:tc>
        <w:tc>
          <w:tcPr>
            <w:tcW w:w="7767" w:type="dxa"/>
            <w:tcBorders>
              <w:top w:val="single" w:color="000000" w:sz="4" w:space="0"/>
              <w:left w:val="single" w:color="000000" w:sz="4" w:space="0"/>
              <w:bottom w:val="single" w:color="auto"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b w:val="0"/>
                <w:bCs w:val="0"/>
                <w:color w:val="000000"/>
                <w:kern w:val="0"/>
                <w:sz w:val="21"/>
                <w:szCs w:val="21"/>
                <w:highlight w:val="none"/>
                <w:lang w:bidi="ar"/>
              </w:rPr>
              <w:t>无数量限制</w:t>
            </w:r>
          </w:p>
        </w:tc>
      </w:tr>
      <w:tr>
        <w:tblPrEx>
          <w:tblCellMar>
            <w:top w:w="0" w:type="dxa"/>
            <w:left w:w="0" w:type="dxa"/>
            <w:bottom w:w="0" w:type="dxa"/>
            <w:right w:w="0" w:type="dxa"/>
          </w:tblCellMar>
        </w:tblPrEx>
        <w:trPr>
          <w:trHeight w:val="0" w:hRule="atLeast"/>
          <w:jc w:val="center"/>
        </w:trPr>
        <w:tc>
          <w:tcPr>
            <w:tcW w:w="1984" w:type="dxa"/>
            <w:tcBorders>
              <w:top w:val="single" w:color="auto" w:sz="4" w:space="0"/>
              <w:left w:val="single" w:color="auto" w:sz="4" w:space="0"/>
              <w:bottom w:val="single" w:color="auto" w:sz="4" w:space="0"/>
              <w:right w:val="single" w:color="auto"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六、</w:t>
            </w:r>
            <w:r>
              <w:rPr>
                <w:rFonts w:hint="eastAsia" w:ascii="仿宋_GB2312" w:hAnsi="仿宋_GB2312" w:eastAsia="仿宋_GB2312" w:cs="仿宋_GB2312"/>
                <w:color w:val="auto"/>
                <w:kern w:val="0"/>
                <w:sz w:val="21"/>
                <w:szCs w:val="21"/>
                <w:highlight w:val="none"/>
                <w:u w:val="none"/>
                <w:lang w:eastAsia="zh-CN" w:bidi="ar"/>
              </w:rPr>
              <w:t>受理</w:t>
            </w:r>
            <w:r>
              <w:rPr>
                <w:rFonts w:hint="eastAsia" w:ascii="仿宋_GB2312" w:hAnsi="仿宋_GB2312" w:eastAsia="仿宋_GB2312" w:cs="仿宋_GB2312"/>
                <w:color w:val="auto"/>
                <w:kern w:val="0"/>
                <w:sz w:val="21"/>
                <w:szCs w:val="21"/>
                <w:highlight w:val="none"/>
                <w:u w:val="none"/>
                <w:lang w:bidi="ar"/>
              </w:rPr>
              <w:t>条件</w:t>
            </w:r>
          </w:p>
        </w:tc>
        <w:tc>
          <w:tcPr>
            <w:tcW w:w="7767" w:type="dxa"/>
            <w:tcBorders>
              <w:top w:val="single" w:color="auto" w:sz="4" w:space="0"/>
              <w:left w:val="single" w:color="auto" w:sz="4" w:space="0"/>
              <w:bottom w:val="single" w:color="000000" w:sz="4" w:space="0"/>
              <w:right w:val="single" w:color="auto"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地质灾害防治单位资质证书遗失或损毁</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七</w:t>
            </w:r>
            <w:r>
              <w:rPr>
                <w:rFonts w:hint="eastAsia" w:ascii="仿宋_GB2312" w:hAnsi="仿宋_GB2312" w:eastAsia="仿宋_GB2312" w:cs="仿宋_GB2312"/>
                <w:color w:val="auto"/>
                <w:kern w:val="0"/>
                <w:sz w:val="21"/>
                <w:szCs w:val="21"/>
                <w:highlight w:val="none"/>
                <w:u w:val="none"/>
                <w:lang w:bidi="ar"/>
              </w:rPr>
              <w:t>、申请材料目录</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（一）资质申请书（补证）；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（二）营业执照或者事业单位法人证书。</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b w:val="0"/>
                <w:bCs w:val="0"/>
                <w:color w:val="auto"/>
                <w:sz w:val="21"/>
                <w:szCs w:val="21"/>
                <w:highlight w:val="none"/>
                <w:lang w:val="en-US" w:eastAsia="zh-CN"/>
              </w:rPr>
              <w:t>（注：申请材料均提供电子版）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FF0000"/>
                <w:kern w:val="0"/>
                <w:sz w:val="21"/>
                <w:szCs w:val="21"/>
                <w:highlight w:val="yellow"/>
                <w:u w:val="none"/>
                <w:lang w:bidi="ar"/>
              </w:rPr>
            </w:pPr>
            <w:r>
              <w:rPr>
                <w:rFonts w:hint="eastAsia" w:ascii="仿宋_GB2312" w:hAnsi="仿宋_GB2312" w:eastAsia="仿宋_GB2312" w:cs="仿宋_GB2312"/>
                <w:color w:val="auto"/>
                <w:kern w:val="0"/>
                <w:sz w:val="21"/>
                <w:szCs w:val="21"/>
                <w:highlight w:val="none"/>
                <w:u w:val="none"/>
                <w:lang w:eastAsia="zh-CN" w:bidi="ar"/>
              </w:rPr>
              <w:t>八</w:t>
            </w:r>
            <w:r>
              <w:rPr>
                <w:rFonts w:hint="eastAsia" w:ascii="仿宋_GB2312" w:hAnsi="仿宋_GB2312" w:eastAsia="仿宋_GB2312" w:cs="仿宋_GB2312"/>
                <w:color w:val="auto"/>
                <w:kern w:val="0"/>
                <w:sz w:val="21"/>
                <w:szCs w:val="21"/>
                <w:highlight w:val="none"/>
                <w:u w:val="none"/>
                <w:lang w:bidi="ar"/>
              </w:rPr>
              <w:t>、办理基本流程</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FF0000"/>
                <w:sz w:val="21"/>
                <w:szCs w:val="21"/>
                <w:highlight w:val="yellow"/>
                <w:u w:val="none"/>
              </w:rPr>
            </w:pPr>
            <w:r>
              <w:rPr>
                <w:rFonts w:hint="eastAsia" w:ascii="仿宋_GB2312" w:hAnsi="仿宋_GB2312" w:eastAsia="仿宋_GB2312" w:cs="仿宋_GB2312"/>
                <w:color w:val="auto"/>
                <w:sz w:val="21"/>
                <w:szCs w:val="21"/>
                <w:highlight w:val="none"/>
                <w:u w:val="none"/>
              </w:rPr>
              <w:t>申请——受理——材料流转——属地</w:t>
            </w:r>
            <w:r>
              <w:rPr>
                <w:rFonts w:hint="eastAsia" w:ascii="仿宋_GB2312" w:hAnsi="仿宋_GB2312" w:eastAsia="仿宋_GB2312" w:cs="仿宋_GB2312"/>
                <w:color w:val="auto"/>
                <w:sz w:val="21"/>
                <w:szCs w:val="21"/>
                <w:highlight w:val="none"/>
                <w:u w:val="none"/>
                <w:lang w:eastAsia="zh-CN"/>
              </w:rPr>
              <w:t>系统</w:t>
            </w:r>
            <w:r>
              <w:rPr>
                <w:rFonts w:hint="eastAsia" w:ascii="仿宋_GB2312" w:hAnsi="仿宋_GB2312" w:eastAsia="仿宋_GB2312" w:cs="仿宋_GB2312"/>
                <w:color w:val="auto"/>
                <w:sz w:val="21"/>
                <w:szCs w:val="21"/>
                <w:highlight w:val="none"/>
                <w:u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九</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eastAsia="zh-CN" w:bidi="ar"/>
              </w:rPr>
              <w:t>法定</w:t>
            </w:r>
            <w:r>
              <w:rPr>
                <w:rFonts w:hint="eastAsia" w:ascii="仿宋_GB2312" w:hAnsi="仿宋_GB2312" w:eastAsia="仿宋_GB2312" w:cs="仿宋_GB2312"/>
                <w:color w:val="auto"/>
                <w:kern w:val="0"/>
                <w:sz w:val="21"/>
                <w:szCs w:val="21"/>
                <w:highlight w:val="none"/>
                <w:u w:val="none"/>
                <w:lang w:bidi="ar"/>
              </w:rPr>
              <w:t>办结时限</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000000"/>
                <w:kern w:val="0"/>
                <w:sz w:val="21"/>
                <w:szCs w:val="21"/>
              </w:rPr>
              <w:t>20</w:t>
            </w:r>
            <w:r>
              <w:rPr>
                <w:rFonts w:hint="eastAsia" w:ascii="仿宋_GB2312" w:hAnsi="仿宋_GB2312" w:eastAsia="仿宋_GB2312" w:cs="仿宋_GB2312"/>
                <w:color w:val="000000"/>
                <w:kern w:val="0"/>
                <w:sz w:val="21"/>
                <w:szCs w:val="21"/>
                <w:lang w:eastAsia="zh-CN"/>
              </w:rPr>
              <w:t>个</w:t>
            </w:r>
            <w:r>
              <w:rPr>
                <w:rFonts w:hint="eastAsia" w:ascii="仿宋_GB2312" w:hAnsi="仿宋_GB2312" w:eastAsia="仿宋_GB2312" w:cs="仿宋_GB2312"/>
                <w:color w:val="000000"/>
                <w:kern w:val="0"/>
                <w:sz w:val="21"/>
                <w:szCs w:val="21"/>
              </w:rPr>
              <w:t>工作日</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pacing w:val="-11"/>
                <w:kern w:val="0"/>
                <w:sz w:val="21"/>
                <w:szCs w:val="21"/>
                <w:highlight w:val="none"/>
                <w:u w:val="none"/>
                <w:lang w:bidi="ar"/>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sz w:val="21"/>
                <w:szCs w:val="21"/>
                <w:highlight w:val="none"/>
                <w:u w:val="none"/>
                <w:lang w:eastAsia="zh-CN"/>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一</w:t>
            </w:r>
            <w:r>
              <w:rPr>
                <w:rFonts w:hint="eastAsia" w:ascii="仿宋_GB2312" w:hAnsi="仿宋_GB2312" w:eastAsia="仿宋_GB2312" w:cs="仿宋_GB2312"/>
                <w:color w:val="auto"/>
                <w:kern w:val="0"/>
                <w:sz w:val="21"/>
                <w:szCs w:val="21"/>
                <w:highlight w:val="none"/>
                <w:u w:val="none"/>
                <w:lang w:bidi="ar"/>
              </w:rPr>
              <w:t>、结果送达</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二</w:t>
            </w:r>
            <w:r>
              <w:rPr>
                <w:rFonts w:hint="eastAsia" w:ascii="仿宋_GB2312" w:hAnsi="仿宋_GB2312" w:eastAsia="仿宋_GB2312" w:cs="仿宋_GB2312"/>
                <w:color w:val="auto"/>
                <w:kern w:val="0"/>
                <w:sz w:val="21"/>
                <w:szCs w:val="21"/>
                <w:highlight w:val="none"/>
                <w:u w:val="none"/>
                <w:lang w:bidi="ar"/>
              </w:rPr>
              <w:t>、审批决定证书</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地质灾害防治单位资质证书</w:t>
            </w:r>
          </w:p>
        </w:tc>
      </w:tr>
    </w:tbl>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0C08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2023-09-20T08:50:37Z</dcterms:created>
  <dc:creator>Administrator</dc:creator>
  <cp:lastModifiedBy>Administrator</cp:lastModifiedBy>
  <dcterms:modified xsi:type="dcterms:W3CDTF">2023-09-20T08:50:46Z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2EA7051C5F54470F9B4F3C411825548D_12</vt:lpwstr>
  </property>
</Properties>
</file>