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textAlignment w:val="auto"/>
        <w:rPr>
          <w:rFonts w:hint="eastAsia" w:ascii="黑体" w:hAnsi="黑体" w:eastAsia="黑体" w:cs="黑体"/>
          <w:snapToGrid w:val="0"/>
          <w:kern w:val="0"/>
          <w:sz w:val="32"/>
          <w:lang w:val="en-US" w:eastAsia="zh-CN"/>
        </w:rPr>
      </w:pPr>
      <w:r>
        <w:rPr>
          <w:rFonts w:hint="eastAsia" w:ascii="黑体" w:hAnsi="黑体" w:eastAsia="黑体" w:cs="黑体"/>
          <w:snapToGrid w:val="0"/>
          <w:kern w:val="0"/>
          <w:sz w:val="32"/>
          <w:lang w:eastAsia="zh-CN"/>
        </w:rPr>
        <w:t>附件</w:t>
      </w:r>
      <w:r>
        <w:rPr>
          <w:rFonts w:hint="eastAsia" w:ascii="黑体" w:hAnsi="黑体" w:eastAsia="黑体" w:cs="黑体"/>
          <w:snapToGrid w:val="0"/>
          <w:kern w:val="0"/>
          <w:sz w:val="32"/>
          <w:lang w:val="en-US" w:eastAsia="zh-CN"/>
        </w:rPr>
        <w:t>9</w:t>
      </w:r>
    </w:p>
    <w:p>
      <w:pPr>
        <w:keepNext w:val="0"/>
        <w:keepLines w:val="0"/>
        <w:pageBreakBefore w:val="0"/>
        <w:widowControl w:val="0"/>
        <w:tabs>
          <w:tab w:val="left" w:pos="540"/>
        </w:tabs>
        <w:kinsoku/>
        <w:wordWrap/>
        <w:overflowPunct/>
        <w:topLinePunct w:val="0"/>
        <w:autoSpaceDE/>
        <w:autoSpaceDN/>
        <w:bidi w:val="0"/>
        <w:adjustRightInd/>
        <w:snapToGrid/>
        <w:spacing w:line="100" w:lineRule="exact"/>
        <w:jc w:val="center"/>
        <w:textAlignment w:val="auto"/>
        <w:rPr>
          <w:rFonts w:hint="default" w:ascii="Times New Roman" w:hAnsi="Times New Roman" w:eastAsia="方正小标宋_GBK" w:cs="Times New Roman"/>
          <w:sz w:val="32"/>
          <w:szCs w:val="32"/>
          <w:lang w:val="en-US" w:eastAsia="zh-CN"/>
        </w:rPr>
      </w:pPr>
    </w:p>
    <w:p>
      <w:pPr>
        <w:keepNext w:val="0"/>
        <w:keepLines w:val="0"/>
        <w:pageBreakBefore w:val="0"/>
        <w:widowControl w:val="0"/>
        <w:tabs>
          <w:tab w:val="left" w:pos="540"/>
        </w:tabs>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“川渝通办”地质灾害防治单位资质注销</w:t>
      </w:r>
    </w:p>
    <w:p>
      <w:pPr>
        <w:keepNext w:val="0"/>
        <w:keepLines w:val="0"/>
        <w:pageBreakBefore w:val="0"/>
        <w:widowControl w:val="0"/>
        <w:tabs>
          <w:tab w:val="left" w:pos="540"/>
        </w:tabs>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服务指南</w:t>
      </w:r>
    </w:p>
    <w:p>
      <w:pPr>
        <w:pStyle w:val="2"/>
        <w:keepNext w:val="0"/>
        <w:keepLines w:val="0"/>
        <w:pageBreakBefore w:val="0"/>
        <w:widowControl w:val="0"/>
        <w:kinsoku/>
        <w:wordWrap/>
        <w:overflowPunct/>
        <w:topLinePunct w:val="0"/>
        <w:autoSpaceDE/>
        <w:autoSpaceDN/>
        <w:bidi w:val="0"/>
        <w:adjustRightInd w:val="0"/>
        <w:snapToGrid w:val="0"/>
        <w:spacing w:after="0" w:line="100" w:lineRule="exact"/>
        <w:ind w:firstLine="0" w:firstLineChars="0"/>
        <w:jc w:val="center"/>
        <w:textAlignment w:val="auto"/>
        <w:rPr>
          <w:rFonts w:hint="default" w:ascii="Times New Roman" w:hAnsi="Times New Roman" w:eastAsia="方正小标宋_GBK" w:cs="Times New Roman"/>
          <w:sz w:val="32"/>
          <w:szCs w:val="32"/>
          <w:lang w:val="en-US" w:eastAsia="zh-CN"/>
        </w:rPr>
      </w:pPr>
    </w:p>
    <w:tbl>
      <w:tblPr>
        <w:tblStyle w:val="5"/>
        <w:tblW w:w="9751" w:type="dxa"/>
        <w:jc w:val="center"/>
        <w:tblLayout w:type="fixed"/>
        <w:tblCellMar>
          <w:top w:w="0" w:type="dxa"/>
          <w:left w:w="0" w:type="dxa"/>
          <w:bottom w:w="0" w:type="dxa"/>
          <w:right w:w="0" w:type="dxa"/>
        </w:tblCellMar>
      </w:tblPr>
      <w:tblGrid>
        <w:gridCol w:w="1984"/>
        <w:gridCol w:w="7767"/>
      </w:tblGrid>
      <w:tr>
        <w:tblPrEx>
          <w:tblCellMar>
            <w:top w:w="0" w:type="dxa"/>
            <w:left w:w="0" w:type="dxa"/>
            <w:bottom w:w="0" w:type="dxa"/>
            <w:right w:w="0" w:type="dxa"/>
          </w:tblCellMar>
        </w:tblPrEx>
        <w:trPr>
          <w:trHeight w:val="57" w:hRule="atLeast"/>
          <w:jc w:val="center"/>
        </w:trPr>
        <w:tc>
          <w:tcPr>
            <w:tcW w:w="1984" w:type="dxa"/>
            <w:tcBorders>
              <w:top w:val="single" w:color="000000" w:sz="4" w:space="0"/>
              <w:left w:val="single" w:color="000000" w:sz="4" w:space="0"/>
              <w:bottom w:val="single" w:color="000000" w:sz="4" w:space="0"/>
              <w:right w:val="single" w:color="000000" w:sz="4" w:space="0"/>
            </w:tcBorders>
            <w:noWrap w:val="0"/>
            <w:tcMar>
              <w:top w:w="113" w:type="dxa"/>
              <w:left w:w="57" w:type="dxa"/>
              <w:bottom w:w="113" w:type="dxa"/>
              <w:right w:w="57" w:type="dxa"/>
            </w:tcMar>
            <w:vAlign w:val="center"/>
          </w:tcPr>
          <w:p>
            <w:pPr>
              <w:widowControl/>
              <w:spacing w:line="320" w:lineRule="exact"/>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一、适用范围</w:t>
            </w:r>
          </w:p>
        </w:tc>
        <w:tc>
          <w:tcPr>
            <w:tcW w:w="7767" w:type="dxa"/>
            <w:tcBorders>
              <w:top w:val="single" w:color="000000" w:sz="4" w:space="0"/>
              <w:left w:val="single" w:color="000000" w:sz="4" w:space="0"/>
              <w:bottom w:val="single" w:color="000000" w:sz="4" w:space="0"/>
              <w:right w:val="single" w:color="000000" w:sz="4" w:space="0"/>
            </w:tcBorders>
            <w:noWrap w:val="0"/>
            <w:tcMar>
              <w:top w:w="113" w:type="dxa"/>
              <w:left w:w="170" w:type="dxa"/>
              <w:bottom w:w="113" w:type="dxa"/>
              <w:right w:w="170" w:type="dxa"/>
            </w:tcMar>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center"/>
              <w:rPr>
                <w:rFonts w:hint="eastAsia" w:ascii="仿宋_GB2312" w:hAnsi="仿宋_GB2312" w:eastAsia="仿宋_GB2312" w:cs="仿宋_GB2312"/>
                <w:color w:val="auto"/>
                <w:sz w:val="21"/>
                <w:szCs w:val="21"/>
                <w:highlight w:val="none"/>
                <w:u w:val="none"/>
                <w:lang w:val="en-US" w:eastAsia="zh-CN"/>
              </w:rPr>
            </w:pPr>
            <w:r>
              <w:rPr>
                <w:rFonts w:hint="eastAsia" w:ascii="仿宋_GB2312" w:hAnsi="仿宋_GB2312" w:eastAsia="仿宋_GB2312" w:cs="仿宋_GB2312"/>
                <w:kern w:val="0"/>
                <w:sz w:val="21"/>
                <w:szCs w:val="21"/>
                <w:lang w:val="en-US" w:eastAsia="zh-CN"/>
              </w:rPr>
              <w:t>适用于重庆市、四川省行政区域内，地质灾害评估和治理工程勘查设计资质、地质灾害治理工程施工资质、地质灾害治理工程监理资质的注销</w:t>
            </w:r>
            <w:r>
              <w:rPr>
                <w:rFonts w:hint="eastAsia" w:ascii="仿宋_GB2312" w:hAnsi="仿宋_GB2312" w:eastAsia="仿宋_GB2312" w:cs="仿宋_GB2312"/>
                <w:kern w:val="0"/>
                <w:sz w:val="21"/>
                <w:szCs w:val="21"/>
                <w:lang w:val="zh-CN" w:eastAsia="zh-CN"/>
              </w:rPr>
              <w:t>事项</w:t>
            </w:r>
            <w:r>
              <w:rPr>
                <w:rFonts w:hint="eastAsia" w:ascii="仿宋_GB2312" w:hAnsi="仿宋_GB2312" w:eastAsia="仿宋_GB2312" w:cs="仿宋_GB2312"/>
                <w:kern w:val="0"/>
                <w:sz w:val="21"/>
                <w:szCs w:val="21"/>
                <w:lang w:val="en-US" w:eastAsia="zh-CN"/>
              </w:rPr>
              <w:t xml:space="preserve">。                       </w:t>
            </w:r>
          </w:p>
        </w:tc>
      </w:tr>
      <w:tr>
        <w:tblPrEx>
          <w:tblCellMar>
            <w:top w:w="0" w:type="dxa"/>
            <w:left w:w="0" w:type="dxa"/>
            <w:bottom w:w="0" w:type="dxa"/>
            <w:right w:w="0" w:type="dxa"/>
          </w:tblCellMar>
        </w:tblPrEx>
        <w:trPr>
          <w:trHeight w:val="3330" w:hRule="atLeast"/>
          <w:jc w:val="center"/>
        </w:trPr>
        <w:tc>
          <w:tcPr>
            <w:tcW w:w="1984" w:type="dxa"/>
            <w:tcBorders>
              <w:top w:val="single" w:color="000000" w:sz="4" w:space="0"/>
              <w:left w:val="single" w:color="000000" w:sz="4" w:space="0"/>
              <w:bottom w:val="single" w:color="000000" w:sz="4" w:space="0"/>
              <w:right w:val="single" w:color="000000" w:sz="4" w:space="0"/>
            </w:tcBorders>
            <w:noWrap w:val="0"/>
            <w:tcMar>
              <w:top w:w="113" w:type="dxa"/>
              <w:left w:w="57" w:type="dxa"/>
              <w:bottom w:w="113" w:type="dxa"/>
              <w:right w:w="57" w:type="dxa"/>
            </w:tcMar>
            <w:vAlign w:val="center"/>
          </w:tcPr>
          <w:p>
            <w:pPr>
              <w:widowControl/>
              <w:numPr>
                <w:ilvl w:val="0"/>
                <w:numId w:val="0"/>
              </w:numPr>
              <w:spacing w:line="320" w:lineRule="exact"/>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二、法律</w:t>
            </w:r>
            <w:r>
              <w:rPr>
                <w:rFonts w:hint="eastAsia" w:ascii="仿宋_GB2312" w:hAnsi="仿宋_GB2312" w:eastAsia="仿宋_GB2312" w:cs="仿宋_GB2312"/>
                <w:sz w:val="21"/>
                <w:szCs w:val="21"/>
                <w:highlight w:val="none"/>
              </w:rPr>
              <w:t>依据</w:t>
            </w:r>
          </w:p>
        </w:tc>
        <w:tc>
          <w:tcPr>
            <w:tcW w:w="7767" w:type="dxa"/>
            <w:tcBorders>
              <w:top w:val="single" w:color="000000" w:sz="4" w:space="0"/>
              <w:left w:val="single" w:color="000000" w:sz="4" w:space="0"/>
              <w:bottom w:val="single" w:color="000000" w:sz="4" w:space="0"/>
              <w:right w:val="single" w:color="000000" w:sz="4" w:space="0"/>
            </w:tcBorders>
            <w:noWrap w:val="0"/>
            <w:tcMar>
              <w:top w:w="113" w:type="dxa"/>
              <w:left w:w="170" w:type="dxa"/>
              <w:bottom w:w="113" w:type="dxa"/>
              <w:right w:w="170"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420" w:firstLineChars="200"/>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《地质灾害防治单位资质管理办法》（自然资源部令第</w:t>
            </w:r>
            <w:r>
              <w:rPr>
                <w:rFonts w:hint="eastAsia" w:ascii="仿宋_GB2312" w:hAnsi="仿宋_GB2312" w:eastAsia="仿宋_GB2312" w:cs="仿宋_GB2312"/>
                <w:b w:val="0"/>
                <w:bCs w:val="0"/>
                <w:sz w:val="21"/>
                <w:szCs w:val="21"/>
                <w:lang w:val="en-US" w:eastAsia="zh-CN"/>
              </w:rPr>
              <w:t>8</w:t>
            </w:r>
            <w:r>
              <w:rPr>
                <w:rFonts w:hint="eastAsia" w:ascii="仿宋_GB2312" w:hAnsi="仿宋_GB2312" w:eastAsia="仿宋_GB2312" w:cs="仿宋_GB2312"/>
                <w:sz w:val="21"/>
                <w:szCs w:val="21"/>
                <w:lang w:val="en-US" w:eastAsia="zh-CN"/>
              </w:rPr>
              <w:t>号）</w:t>
            </w:r>
          </w:p>
          <w:p>
            <w:pPr>
              <w:keepNext w:val="0"/>
              <w:keepLines w:val="0"/>
              <w:pageBreakBefore w:val="0"/>
              <w:widowControl/>
              <w:kinsoku/>
              <w:wordWrap/>
              <w:overflowPunct/>
              <w:topLinePunct w:val="0"/>
              <w:autoSpaceDE/>
              <w:autoSpaceDN/>
              <w:bidi w:val="0"/>
              <w:adjustRightInd/>
              <w:snapToGrid/>
              <w:spacing w:line="320" w:lineRule="exact"/>
              <w:ind w:firstLine="420" w:firstLineChars="200"/>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第十九条 地质灾害防治单位有下列情形之一的，单位登记注册地的省级人民政府自然资源主管部门应当依法予以注销资质：</w:t>
            </w:r>
          </w:p>
          <w:p>
            <w:pPr>
              <w:keepNext w:val="0"/>
              <w:keepLines w:val="0"/>
              <w:pageBreakBefore w:val="0"/>
              <w:widowControl/>
              <w:kinsoku/>
              <w:wordWrap/>
              <w:overflowPunct/>
              <w:topLinePunct w:val="0"/>
              <w:autoSpaceDE/>
              <w:autoSpaceDN/>
              <w:bidi w:val="0"/>
              <w:adjustRightInd/>
              <w:snapToGrid/>
              <w:spacing w:line="320" w:lineRule="exact"/>
              <w:ind w:firstLine="420" w:firstLineChars="200"/>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（一）地质灾害防治单位资质证书有效期届满未延续的；</w:t>
            </w:r>
          </w:p>
          <w:p>
            <w:pPr>
              <w:keepNext w:val="0"/>
              <w:keepLines w:val="0"/>
              <w:pageBreakBefore w:val="0"/>
              <w:widowControl/>
              <w:kinsoku/>
              <w:wordWrap/>
              <w:overflowPunct/>
              <w:topLinePunct w:val="0"/>
              <w:autoSpaceDE/>
              <w:autoSpaceDN/>
              <w:bidi w:val="0"/>
              <w:adjustRightInd/>
              <w:snapToGrid/>
              <w:spacing w:line="320" w:lineRule="exact"/>
              <w:ind w:firstLine="420" w:firstLineChars="200"/>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（二）地质灾害防治单位依法终止的；</w:t>
            </w:r>
          </w:p>
          <w:p>
            <w:pPr>
              <w:keepNext w:val="0"/>
              <w:keepLines w:val="0"/>
              <w:pageBreakBefore w:val="0"/>
              <w:widowControl/>
              <w:kinsoku/>
              <w:wordWrap/>
              <w:overflowPunct/>
              <w:topLinePunct w:val="0"/>
              <w:autoSpaceDE/>
              <w:autoSpaceDN/>
              <w:bidi w:val="0"/>
              <w:adjustRightInd/>
              <w:snapToGrid/>
              <w:spacing w:line="320" w:lineRule="exact"/>
              <w:ind w:firstLine="420" w:firstLineChars="200"/>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（三）地质灾害防治单位资质依法被撤销、撤回的；</w:t>
            </w:r>
          </w:p>
          <w:p>
            <w:pPr>
              <w:keepNext w:val="0"/>
              <w:keepLines w:val="0"/>
              <w:pageBreakBefore w:val="0"/>
              <w:widowControl/>
              <w:kinsoku/>
              <w:wordWrap/>
              <w:overflowPunct/>
              <w:topLinePunct w:val="0"/>
              <w:autoSpaceDE/>
              <w:autoSpaceDN/>
              <w:bidi w:val="0"/>
              <w:adjustRightInd/>
              <w:snapToGrid/>
              <w:spacing w:line="320" w:lineRule="exact"/>
              <w:ind w:firstLine="420" w:firstLineChars="200"/>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（四）地质灾害防治单位资质证书依法被吊销的；</w:t>
            </w:r>
          </w:p>
          <w:p>
            <w:pPr>
              <w:keepNext w:val="0"/>
              <w:keepLines w:val="0"/>
              <w:pageBreakBefore w:val="0"/>
              <w:widowControl/>
              <w:kinsoku/>
              <w:wordWrap/>
              <w:overflowPunct/>
              <w:topLinePunct w:val="0"/>
              <w:autoSpaceDE/>
              <w:autoSpaceDN/>
              <w:bidi w:val="0"/>
              <w:adjustRightInd/>
              <w:snapToGrid/>
              <w:spacing w:line="320" w:lineRule="exact"/>
              <w:ind w:firstLine="420" w:firstLineChars="200"/>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（五）地质灾害防治单位申请注销地质灾害防治单位资质的。</w:t>
            </w:r>
          </w:p>
          <w:p>
            <w:pPr>
              <w:pStyle w:val="2"/>
              <w:keepNext w:val="0"/>
              <w:keepLines w:val="0"/>
              <w:pageBreakBefore w:val="0"/>
              <w:widowControl/>
              <w:kinsoku/>
              <w:wordWrap/>
              <w:overflowPunct/>
              <w:topLinePunct w:val="0"/>
              <w:autoSpaceDE/>
              <w:autoSpaceDN/>
              <w:bidi w:val="0"/>
              <w:adjustRightInd/>
              <w:snapToGrid/>
              <w:spacing w:line="320" w:lineRule="exact"/>
              <w:ind w:left="0" w:leftChars="0" w:firstLine="420" w:firstLineChars="200"/>
              <w:textAlignment w:val="auto"/>
              <w:rPr>
                <w:rFonts w:hint="eastAsia" w:ascii="仿宋_GB2312" w:hAnsi="仿宋_GB2312" w:eastAsia="仿宋_GB2312" w:cs="仿宋_GB2312"/>
                <w:szCs w:val="21"/>
                <w:lang w:val="zh-CN"/>
              </w:rPr>
            </w:pPr>
            <w:r>
              <w:rPr>
                <w:rFonts w:hint="eastAsia" w:ascii="仿宋_GB2312" w:hAnsi="仿宋_GB2312" w:eastAsia="仿宋_GB2312" w:cs="仿宋_GB2312"/>
                <w:kern w:val="2"/>
                <w:sz w:val="21"/>
                <w:szCs w:val="21"/>
                <w:lang w:val="en-US" w:eastAsia="zh-CN" w:bidi="ar-SA"/>
              </w:rPr>
              <w:t>第二十二条 地质灾害防治单位发生分立的，应当及时向单位登记注册地的省级人民政府自然资源主管部门申请办理地质灾害防治单位资质证书注销手续。</w:t>
            </w:r>
          </w:p>
        </w:tc>
      </w:tr>
      <w:tr>
        <w:tblPrEx>
          <w:tblCellMar>
            <w:top w:w="0" w:type="dxa"/>
            <w:left w:w="0" w:type="dxa"/>
            <w:bottom w:w="0" w:type="dxa"/>
            <w:right w:w="0" w:type="dxa"/>
          </w:tblCellMar>
        </w:tblPrEx>
        <w:trPr>
          <w:trHeight w:val="57" w:hRule="atLeast"/>
          <w:jc w:val="center"/>
        </w:trPr>
        <w:tc>
          <w:tcPr>
            <w:tcW w:w="1984" w:type="dxa"/>
            <w:tcBorders>
              <w:top w:val="single" w:color="000000" w:sz="4" w:space="0"/>
              <w:left w:val="single" w:color="000000" w:sz="4" w:space="0"/>
              <w:bottom w:val="single" w:color="000000" w:sz="4" w:space="0"/>
              <w:right w:val="single" w:color="000000" w:sz="4" w:space="0"/>
            </w:tcBorders>
            <w:noWrap w:val="0"/>
            <w:tcMar>
              <w:top w:w="113" w:type="dxa"/>
              <w:left w:w="57" w:type="dxa"/>
              <w:bottom w:w="113" w:type="dxa"/>
              <w:right w:w="57" w:type="dxa"/>
            </w:tcMar>
            <w:vAlign w:val="center"/>
          </w:tcPr>
          <w:p>
            <w:pPr>
              <w:keepNext w:val="0"/>
              <w:keepLines w:val="0"/>
              <w:pageBreakBefore w:val="0"/>
              <w:widowControl/>
              <w:kinsoku/>
              <w:wordWrap/>
              <w:overflowPunct/>
              <w:topLinePunct w:val="0"/>
              <w:autoSpaceDE/>
              <w:autoSpaceDN/>
              <w:bidi w:val="0"/>
              <w:spacing w:line="240" w:lineRule="exact"/>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三、受理机构</w:t>
            </w:r>
          </w:p>
        </w:tc>
        <w:tc>
          <w:tcPr>
            <w:tcW w:w="7767" w:type="dxa"/>
            <w:tcBorders>
              <w:top w:val="single" w:color="000000" w:sz="4" w:space="0"/>
              <w:left w:val="single" w:color="000000" w:sz="4" w:space="0"/>
              <w:bottom w:val="single" w:color="000000" w:sz="4" w:space="0"/>
              <w:right w:val="single" w:color="000000" w:sz="4" w:space="0"/>
            </w:tcBorders>
            <w:noWrap w:val="0"/>
            <w:tcMar>
              <w:top w:w="113" w:type="dxa"/>
              <w:left w:w="170" w:type="dxa"/>
              <w:bottom w:w="113" w:type="dxa"/>
              <w:right w:w="17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center"/>
              <w:rPr>
                <w:rFonts w:hint="eastAsia" w:ascii="仿宋_GB2312" w:hAnsi="仿宋_GB2312" w:eastAsia="仿宋_GB2312" w:cs="仿宋_GB2312"/>
                <w:color w:val="auto"/>
                <w:sz w:val="21"/>
                <w:szCs w:val="21"/>
                <w:highlight w:val="none"/>
                <w:u w:val="none"/>
                <w:lang w:eastAsia="zh-CN"/>
              </w:rPr>
            </w:pPr>
            <w:r>
              <w:rPr>
                <w:rFonts w:hint="eastAsia" w:ascii="仿宋_GB2312" w:hAnsi="仿宋_GB2312" w:eastAsia="仿宋_GB2312" w:cs="仿宋_GB2312"/>
                <w:color w:val="auto"/>
                <w:kern w:val="0"/>
                <w:sz w:val="21"/>
                <w:szCs w:val="21"/>
                <w:highlight w:val="none"/>
                <w:lang w:val="zh-CN" w:bidi="ar"/>
              </w:rPr>
              <w:t>重庆市规划和自然资源局、四川省自然资源厅</w:t>
            </w:r>
          </w:p>
        </w:tc>
      </w:tr>
      <w:tr>
        <w:tblPrEx>
          <w:tblCellMar>
            <w:top w:w="0" w:type="dxa"/>
            <w:left w:w="0" w:type="dxa"/>
            <w:bottom w:w="0" w:type="dxa"/>
            <w:right w:w="0" w:type="dxa"/>
          </w:tblCellMar>
        </w:tblPrEx>
        <w:trPr>
          <w:trHeight w:val="57" w:hRule="atLeast"/>
          <w:jc w:val="center"/>
        </w:trPr>
        <w:tc>
          <w:tcPr>
            <w:tcW w:w="1984" w:type="dxa"/>
            <w:tcBorders>
              <w:top w:val="single" w:color="000000" w:sz="4" w:space="0"/>
              <w:left w:val="single" w:color="000000" w:sz="4" w:space="0"/>
              <w:bottom w:val="single" w:color="000000" w:sz="4" w:space="0"/>
              <w:right w:val="single" w:color="000000" w:sz="4" w:space="0"/>
            </w:tcBorders>
            <w:noWrap w:val="0"/>
            <w:tcMar>
              <w:top w:w="113" w:type="dxa"/>
              <w:left w:w="57" w:type="dxa"/>
              <w:bottom w:w="113" w:type="dxa"/>
              <w:right w:w="57" w:type="dxa"/>
            </w:tcMar>
            <w:vAlign w:val="center"/>
          </w:tcPr>
          <w:p>
            <w:pPr>
              <w:keepNext w:val="0"/>
              <w:keepLines w:val="0"/>
              <w:pageBreakBefore w:val="0"/>
              <w:widowControl/>
              <w:kinsoku/>
              <w:wordWrap/>
              <w:overflowPunct/>
              <w:topLinePunct w:val="0"/>
              <w:autoSpaceDE/>
              <w:autoSpaceDN/>
              <w:bidi w:val="0"/>
              <w:spacing w:line="240" w:lineRule="exact"/>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四、决定机构</w:t>
            </w:r>
          </w:p>
        </w:tc>
        <w:tc>
          <w:tcPr>
            <w:tcW w:w="7767" w:type="dxa"/>
            <w:tcBorders>
              <w:top w:val="single" w:color="000000" w:sz="4" w:space="0"/>
              <w:left w:val="single" w:color="000000" w:sz="4" w:space="0"/>
              <w:bottom w:val="single" w:color="000000" w:sz="4" w:space="0"/>
              <w:right w:val="single" w:color="000000" w:sz="4" w:space="0"/>
            </w:tcBorders>
            <w:noWrap w:val="0"/>
            <w:tcMar>
              <w:top w:w="113" w:type="dxa"/>
              <w:left w:w="170" w:type="dxa"/>
              <w:bottom w:w="113" w:type="dxa"/>
              <w:right w:w="170" w:type="dxa"/>
            </w:tcMar>
            <w:vAlign w:val="center"/>
          </w:tcPr>
          <w:p>
            <w:pPr>
              <w:keepNext w:val="0"/>
              <w:keepLines w:val="0"/>
              <w:pageBreakBefore w:val="0"/>
              <w:widowControl/>
              <w:kinsoku/>
              <w:wordWrap/>
              <w:overflowPunct/>
              <w:topLinePunct w:val="0"/>
              <w:autoSpaceDE/>
              <w:autoSpaceDN/>
              <w:bidi w:val="0"/>
              <w:spacing w:line="240" w:lineRule="exact"/>
              <w:textAlignment w:val="center"/>
              <w:rPr>
                <w:rFonts w:hint="eastAsia" w:ascii="仿宋_GB2312" w:hAnsi="仿宋_GB2312" w:eastAsia="仿宋_GB2312" w:cs="仿宋_GB2312"/>
                <w:color w:val="auto"/>
                <w:sz w:val="21"/>
                <w:szCs w:val="21"/>
                <w:highlight w:val="none"/>
                <w:u w:val="none"/>
                <w:lang w:eastAsia="zh-CN"/>
              </w:rPr>
            </w:pPr>
            <w:r>
              <w:rPr>
                <w:rFonts w:hint="eastAsia" w:ascii="仿宋_GB2312" w:hAnsi="仿宋_GB2312" w:eastAsia="仿宋_GB2312" w:cs="仿宋_GB2312"/>
                <w:color w:val="auto"/>
                <w:kern w:val="0"/>
                <w:sz w:val="21"/>
                <w:szCs w:val="21"/>
                <w:highlight w:val="none"/>
                <w:lang w:val="zh-CN" w:bidi="ar"/>
              </w:rPr>
              <w:t>重庆市规划和自然资源局、四川省自然资源厅</w:t>
            </w:r>
          </w:p>
        </w:tc>
      </w:tr>
      <w:tr>
        <w:tblPrEx>
          <w:tblCellMar>
            <w:top w:w="0" w:type="dxa"/>
            <w:left w:w="0" w:type="dxa"/>
            <w:bottom w:w="0" w:type="dxa"/>
            <w:right w:w="0" w:type="dxa"/>
          </w:tblCellMar>
        </w:tblPrEx>
        <w:trPr>
          <w:trHeight w:val="57" w:hRule="atLeast"/>
          <w:jc w:val="center"/>
        </w:trPr>
        <w:tc>
          <w:tcPr>
            <w:tcW w:w="1984" w:type="dxa"/>
            <w:tcBorders>
              <w:top w:val="single" w:color="000000" w:sz="4" w:space="0"/>
              <w:left w:val="single" w:color="000000" w:sz="4" w:space="0"/>
              <w:bottom w:val="single" w:color="auto" w:sz="4" w:space="0"/>
              <w:right w:val="single" w:color="000000" w:sz="4" w:space="0"/>
            </w:tcBorders>
            <w:noWrap w:val="0"/>
            <w:tcMar>
              <w:top w:w="113" w:type="dxa"/>
              <w:left w:w="57" w:type="dxa"/>
              <w:bottom w:w="113" w:type="dxa"/>
              <w:right w:w="57" w:type="dxa"/>
            </w:tcMar>
            <w:vAlign w:val="center"/>
          </w:tcPr>
          <w:p>
            <w:pPr>
              <w:keepNext w:val="0"/>
              <w:keepLines w:val="0"/>
              <w:pageBreakBefore w:val="0"/>
              <w:widowControl/>
              <w:kinsoku/>
              <w:wordWrap/>
              <w:overflowPunct/>
              <w:topLinePunct w:val="0"/>
              <w:autoSpaceDE/>
              <w:autoSpaceDN/>
              <w:bidi w:val="0"/>
              <w:spacing w:line="240" w:lineRule="exact"/>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五、数量限制</w:t>
            </w:r>
          </w:p>
        </w:tc>
        <w:tc>
          <w:tcPr>
            <w:tcW w:w="7767" w:type="dxa"/>
            <w:tcBorders>
              <w:top w:val="single" w:color="000000" w:sz="4" w:space="0"/>
              <w:left w:val="single" w:color="000000" w:sz="4" w:space="0"/>
              <w:bottom w:val="single" w:color="auto" w:sz="4" w:space="0"/>
              <w:right w:val="single" w:color="000000" w:sz="4" w:space="0"/>
            </w:tcBorders>
            <w:noWrap w:val="0"/>
            <w:tcMar>
              <w:top w:w="113" w:type="dxa"/>
              <w:left w:w="170" w:type="dxa"/>
              <w:bottom w:w="113" w:type="dxa"/>
              <w:right w:w="170" w:type="dxa"/>
            </w:tcMar>
            <w:vAlign w:val="center"/>
          </w:tcPr>
          <w:p>
            <w:pPr>
              <w:keepNext w:val="0"/>
              <w:keepLines w:val="0"/>
              <w:pageBreakBefore w:val="0"/>
              <w:widowControl/>
              <w:kinsoku/>
              <w:wordWrap/>
              <w:overflowPunct/>
              <w:topLinePunct w:val="0"/>
              <w:autoSpaceDE/>
              <w:autoSpaceDN/>
              <w:bidi w:val="0"/>
              <w:spacing w:line="240" w:lineRule="exact"/>
              <w:textAlignment w:val="center"/>
              <w:rPr>
                <w:rFonts w:hint="eastAsia" w:ascii="仿宋_GB2312" w:hAnsi="仿宋_GB2312" w:eastAsia="仿宋_GB2312" w:cs="仿宋_GB2312"/>
                <w:color w:val="auto"/>
                <w:sz w:val="21"/>
                <w:szCs w:val="21"/>
                <w:highlight w:val="none"/>
                <w:u w:val="none"/>
                <w:lang w:val="en-US" w:eastAsia="zh-CN"/>
              </w:rPr>
            </w:pPr>
            <w:r>
              <w:rPr>
                <w:rFonts w:hint="eastAsia" w:ascii="仿宋_GB2312" w:hAnsi="仿宋_GB2312" w:eastAsia="仿宋_GB2312" w:cs="仿宋_GB2312"/>
                <w:b w:val="0"/>
                <w:bCs w:val="0"/>
                <w:color w:val="000000"/>
                <w:kern w:val="0"/>
                <w:sz w:val="21"/>
                <w:szCs w:val="21"/>
                <w:highlight w:val="none"/>
                <w:lang w:bidi="ar"/>
              </w:rPr>
              <w:t>无数量限制</w:t>
            </w:r>
          </w:p>
        </w:tc>
      </w:tr>
      <w:tr>
        <w:tblPrEx>
          <w:tblCellMar>
            <w:top w:w="0" w:type="dxa"/>
            <w:left w:w="0" w:type="dxa"/>
            <w:bottom w:w="0" w:type="dxa"/>
            <w:right w:w="0" w:type="dxa"/>
          </w:tblCellMar>
        </w:tblPrEx>
        <w:trPr>
          <w:trHeight w:val="0" w:hRule="atLeast"/>
          <w:jc w:val="center"/>
        </w:trPr>
        <w:tc>
          <w:tcPr>
            <w:tcW w:w="1984" w:type="dxa"/>
            <w:tcBorders>
              <w:top w:val="single" w:color="auto" w:sz="4" w:space="0"/>
              <w:left w:val="single" w:color="auto" w:sz="4" w:space="0"/>
              <w:bottom w:val="single" w:color="auto" w:sz="4" w:space="0"/>
              <w:right w:val="single" w:color="auto" w:sz="4" w:space="0"/>
            </w:tcBorders>
            <w:noWrap w:val="0"/>
            <w:tcMar>
              <w:top w:w="113" w:type="dxa"/>
              <w:left w:w="57" w:type="dxa"/>
              <w:bottom w:w="113"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outlineLvl w:val="9"/>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六、</w:t>
            </w:r>
            <w:r>
              <w:rPr>
                <w:rFonts w:hint="eastAsia" w:ascii="仿宋_GB2312" w:hAnsi="仿宋_GB2312" w:eastAsia="仿宋_GB2312" w:cs="仿宋_GB2312"/>
                <w:color w:val="auto"/>
                <w:kern w:val="0"/>
                <w:sz w:val="21"/>
                <w:szCs w:val="21"/>
                <w:highlight w:val="none"/>
                <w:u w:val="none"/>
                <w:lang w:eastAsia="zh-CN" w:bidi="ar"/>
              </w:rPr>
              <w:t>受理</w:t>
            </w:r>
            <w:r>
              <w:rPr>
                <w:rFonts w:hint="eastAsia" w:ascii="仿宋_GB2312" w:hAnsi="仿宋_GB2312" w:eastAsia="仿宋_GB2312" w:cs="仿宋_GB2312"/>
                <w:color w:val="auto"/>
                <w:kern w:val="0"/>
                <w:sz w:val="21"/>
                <w:szCs w:val="21"/>
                <w:highlight w:val="none"/>
                <w:u w:val="none"/>
                <w:lang w:bidi="ar"/>
              </w:rPr>
              <w:t>条件</w:t>
            </w:r>
          </w:p>
        </w:tc>
        <w:tc>
          <w:tcPr>
            <w:tcW w:w="7767" w:type="dxa"/>
            <w:tcBorders>
              <w:top w:val="single" w:color="auto" w:sz="4" w:space="0"/>
              <w:left w:val="single" w:color="auto" w:sz="4" w:space="0"/>
              <w:bottom w:val="single" w:color="000000" w:sz="4" w:space="0"/>
              <w:right w:val="single" w:color="auto" w:sz="4" w:space="0"/>
            </w:tcBorders>
            <w:noWrap w:val="0"/>
            <w:tcMar>
              <w:top w:w="113" w:type="dxa"/>
              <w:left w:w="170" w:type="dxa"/>
              <w:bottom w:w="113" w:type="dxa"/>
              <w:right w:w="170"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符合《地质灾害防治单位资质管理办法》所列应当予以注销的情况</w:t>
            </w:r>
          </w:p>
        </w:tc>
      </w:tr>
      <w:tr>
        <w:tblPrEx>
          <w:tblCellMar>
            <w:top w:w="0" w:type="dxa"/>
            <w:left w:w="0" w:type="dxa"/>
            <w:bottom w:w="0" w:type="dxa"/>
            <w:right w:w="0" w:type="dxa"/>
          </w:tblCellMar>
        </w:tblPrEx>
        <w:trPr>
          <w:trHeight w:val="57" w:hRule="atLeast"/>
          <w:jc w:val="center"/>
        </w:trPr>
        <w:tc>
          <w:tcPr>
            <w:tcW w:w="1984" w:type="dxa"/>
            <w:tcBorders>
              <w:top w:val="single" w:color="000000" w:sz="4" w:space="0"/>
              <w:left w:val="single" w:color="000000" w:sz="4" w:space="0"/>
              <w:bottom w:val="single" w:color="000000" w:sz="4" w:space="0"/>
              <w:right w:val="single" w:color="000000" w:sz="4" w:space="0"/>
            </w:tcBorders>
            <w:noWrap w:val="0"/>
            <w:tcMar>
              <w:top w:w="113" w:type="dxa"/>
              <w:left w:w="57" w:type="dxa"/>
              <w:bottom w:w="113" w:type="dxa"/>
              <w:right w:w="57" w:type="dxa"/>
            </w:tcMar>
            <w:vAlign w:val="center"/>
          </w:tcPr>
          <w:p>
            <w:pPr>
              <w:keepNext w:val="0"/>
              <w:keepLines w:val="0"/>
              <w:pageBreakBefore w:val="0"/>
              <w:widowControl/>
              <w:kinsoku/>
              <w:wordWrap/>
              <w:overflowPunct/>
              <w:topLinePunct w:val="0"/>
              <w:autoSpaceDE/>
              <w:autoSpaceDN/>
              <w:bidi w:val="0"/>
              <w:spacing w:line="240" w:lineRule="exact"/>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eastAsia="zh-CN" w:bidi="ar"/>
              </w:rPr>
              <w:t>七</w:t>
            </w:r>
            <w:r>
              <w:rPr>
                <w:rFonts w:hint="eastAsia" w:ascii="仿宋_GB2312" w:hAnsi="仿宋_GB2312" w:eastAsia="仿宋_GB2312" w:cs="仿宋_GB2312"/>
                <w:color w:val="auto"/>
                <w:kern w:val="0"/>
                <w:sz w:val="21"/>
                <w:szCs w:val="21"/>
                <w:highlight w:val="none"/>
                <w:u w:val="none"/>
                <w:lang w:bidi="ar"/>
              </w:rPr>
              <w:t>、申请材料目录</w:t>
            </w:r>
          </w:p>
        </w:tc>
        <w:tc>
          <w:tcPr>
            <w:tcW w:w="7767" w:type="dxa"/>
            <w:tcBorders>
              <w:top w:val="single" w:color="000000" w:sz="4" w:space="0"/>
              <w:left w:val="single" w:color="000000" w:sz="4" w:space="0"/>
              <w:bottom w:val="single" w:color="000000" w:sz="4" w:space="0"/>
              <w:right w:val="single" w:color="000000" w:sz="4" w:space="0"/>
            </w:tcBorders>
            <w:noWrap w:val="0"/>
            <w:tcMar>
              <w:top w:w="113" w:type="dxa"/>
              <w:left w:w="170" w:type="dxa"/>
              <w:bottom w:w="113" w:type="dxa"/>
              <w:right w:w="170" w:type="dxa"/>
            </w:tcMar>
            <w:vAlign w:val="center"/>
          </w:tcPr>
          <w:p>
            <w:pPr>
              <w:keepNext w:val="0"/>
              <w:keepLines w:val="0"/>
              <w:pageBreakBefore w:val="0"/>
              <w:widowControl/>
              <w:kinsoku/>
              <w:wordWrap/>
              <w:overflowPunct/>
              <w:topLinePunct w:val="0"/>
              <w:autoSpaceDE/>
              <w:autoSpaceDN/>
              <w:bidi w:val="0"/>
              <w:spacing w:line="240" w:lineRule="exact"/>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资质申请书（注销）（电子版）</w:t>
            </w:r>
          </w:p>
        </w:tc>
      </w:tr>
      <w:tr>
        <w:tblPrEx>
          <w:tblCellMar>
            <w:top w:w="0" w:type="dxa"/>
            <w:left w:w="0" w:type="dxa"/>
            <w:bottom w:w="0" w:type="dxa"/>
            <w:right w:w="0" w:type="dxa"/>
          </w:tblCellMar>
        </w:tblPrEx>
        <w:trPr>
          <w:trHeight w:val="57" w:hRule="atLeast"/>
          <w:jc w:val="center"/>
        </w:trPr>
        <w:tc>
          <w:tcPr>
            <w:tcW w:w="1984" w:type="dxa"/>
            <w:tcBorders>
              <w:top w:val="single" w:color="000000" w:sz="4" w:space="0"/>
              <w:left w:val="single" w:color="000000" w:sz="4" w:space="0"/>
              <w:bottom w:val="single" w:color="000000" w:sz="4" w:space="0"/>
              <w:right w:val="single" w:color="000000" w:sz="4" w:space="0"/>
            </w:tcBorders>
            <w:noWrap w:val="0"/>
            <w:tcMar>
              <w:top w:w="113" w:type="dxa"/>
              <w:left w:w="57" w:type="dxa"/>
              <w:bottom w:w="113" w:type="dxa"/>
              <w:right w:w="57" w:type="dxa"/>
            </w:tcMar>
            <w:vAlign w:val="center"/>
          </w:tcPr>
          <w:p>
            <w:pPr>
              <w:keepNext w:val="0"/>
              <w:keepLines w:val="0"/>
              <w:pageBreakBefore w:val="0"/>
              <w:widowControl/>
              <w:kinsoku/>
              <w:wordWrap/>
              <w:overflowPunct/>
              <w:topLinePunct w:val="0"/>
              <w:autoSpaceDE/>
              <w:autoSpaceDN/>
              <w:bidi w:val="0"/>
              <w:spacing w:line="240" w:lineRule="exact"/>
              <w:textAlignment w:val="center"/>
              <w:rPr>
                <w:rFonts w:hint="eastAsia" w:ascii="仿宋_GB2312" w:hAnsi="仿宋_GB2312" w:eastAsia="仿宋_GB2312" w:cs="仿宋_GB2312"/>
                <w:color w:val="FF0000"/>
                <w:kern w:val="0"/>
                <w:sz w:val="21"/>
                <w:szCs w:val="21"/>
                <w:highlight w:val="yellow"/>
                <w:u w:val="none"/>
                <w:lang w:bidi="ar"/>
              </w:rPr>
            </w:pPr>
            <w:r>
              <w:rPr>
                <w:rFonts w:hint="eastAsia" w:ascii="仿宋_GB2312" w:hAnsi="仿宋_GB2312" w:eastAsia="仿宋_GB2312" w:cs="仿宋_GB2312"/>
                <w:color w:val="auto"/>
                <w:kern w:val="0"/>
                <w:sz w:val="21"/>
                <w:szCs w:val="21"/>
                <w:highlight w:val="none"/>
                <w:u w:val="none"/>
                <w:lang w:eastAsia="zh-CN" w:bidi="ar"/>
              </w:rPr>
              <w:t>八</w:t>
            </w:r>
            <w:r>
              <w:rPr>
                <w:rFonts w:hint="eastAsia" w:ascii="仿宋_GB2312" w:hAnsi="仿宋_GB2312" w:eastAsia="仿宋_GB2312" w:cs="仿宋_GB2312"/>
                <w:color w:val="auto"/>
                <w:kern w:val="0"/>
                <w:sz w:val="21"/>
                <w:szCs w:val="21"/>
                <w:highlight w:val="none"/>
                <w:u w:val="none"/>
                <w:lang w:bidi="ar"/>
              </w:rPr>
              <w:t>、办理基本流程</w:t>
            </w:r>
          </w:p>
        </w:tc>
        <w:tc>
          <w:tcPr>
            <w:tcW w:w="7767" w:type="dxa"/>
            <w:tcBorders>
              <w:top w:val="single" w:color="000000" w:sz="4" w:space="0"/>
              <w:left w:val="single" w:color="000000" w:sz="4" w:space="0"/>
              <w:bottom w:val="single" w:color="000000" w:sz="4" w:space="0"/>
              <w:right w:val="single" w:color="000000" w:sz="4" w:space="0"/>
            </w:tcBorders>
            <w:noWrap w:val="0"/>
            <w:tcMar>
              <w:top w:w="113" w:type="dxa"/>
              <w:left w:w="170" w:type="dxa"/>
              <w:bottom w:w="113" w:type="dxa"/>
              <w:right w:w="170" w:type="dxa"/>
            </w:tcMar>
            <w:vAlign w:val="center"/>
          </w:tcPr>
          <w:p>
            <w:pPr>
              <w:keepNext w:val="0"/>
              <w:keepLines w:val="0"/>
              <w:pageBreakBefore w:val="0"/>
              <w:widowControl/>
              <w:kinsoku/>
              <w:wordWrap/>
              <w:overflowPunct/>
              <w:topLinePunct w:val="0"/>
              <w:autoSpaceDE/>
              <w:autoSpaceDN/>
              <w:bidi w:val="0"/>
              <w:spacing w:line="240" w:lineRule="exact"/>
              <w:textAlignment w:val="center"/>
              <w:rPr>
                <w:rFonts w:hint="eastAsia" w:ascii="仿宋_GB2312" w:hAnsi="仿宋_GB2312" w:eastAsia="仿宋_GB2312" w:cs="仿宋_GB2312"/>
                <w:color w:val="FF0000"/>
                <w:sz w:val="21"/>
                <w:szCs w:val="21"/>
                <w:highlight w:val="yellow"/>
                <w:u w:val="none"/>
              </w:rPr>
            </w:pPr>
            <w:r>
              <w:rPr>
                <w:rFonts w:hint="eastAsia" w:ascii="仿宋_GB2312" w:hAnsi="仿宋_GB2312" w:eastAsia="仿宋_GB2312" w:cs="仿宋_GB2312"/>
                <w:color w:val="auto"/>
                <w:sz w:val="21"/>
                <w:szCs w:val="21"/>
                <w:highlight w:val="none"/>
                <w:u w:val="none"/>
              </w:rPr>
              <w:t>申请——受理——材料流转——属地</w:t>
            </w:r>
            <w:r>
              <w:rPr>
                <w:rFonts w:hint="eastAsia" w:ascii="仿宋_GB2312" w:hAnsi="仿宋_GB2312" w:eastAsia="仿宋_GB2312" w:cs="仿宋_GB2312"/>
                <w:color w:val="auto"/>
                <w:sz w:val="21"/>
                <w:szCs w:val="21"/>
                <w:highlight w:val="none"/>
                <w:u w:val="none"/>
                <w:lang w:eastAsia="zh-CN"/>
              </w:rPr>
              <w:t>系统</w:t>
            </w:r>
            <w:r>
              <w:rPr>
                <w:rFonts w:hint="eastAsia" w:ascii="仿宋_GB2312" w:hAnsi="仿宋_GB2312" w:eastAsia="仿宋_GB2312" w:cs="仿宋_GB2312"/>
                <w:color w:val="auto"/>
                <w:sz w:val="21"/>
                <w:szCs w:val="21"/>
                <w:highlight w:val="none"/>
                <w:u w:val="none"/>
              </w:rPr>
              <w:t>办理</w:t>
            </w:r>
          </w:p>
        </w:tc>
      </w:tr>
      <w:tr>
        <w:tblPrEx>
          <w:tblCellMar>
            <w:top w:w="0" w:type="dxa"/>
            <w:left w:w="0" w:type="dxa"/>
            <w:bottom w:w="0" w:type="dxa"/>
            <w:right w:w="0" w:type="dxa"/>
          </w:tblCellMar>
        </w:tblPrEx>
        <w:trPr>
          <w:trHeight w:val="57" w:hRule="atLeast"/>
          <w:jc w:val="center"/>
        </w:trPr>
        <w:tc>
          <w:tcPr>
            <w:tcW w:w="1984" w:type="dxa"/>
            <w:tcBorders>
              <w:top w:val="single" w:color="000000" w:sz="4" w:space="0"/>
              <w:left w:val="single" w:color="000000" w:sz="4" w:space="0"/>
              <w:bottom w:val="single" w:color="000000" w:sz="4" w:space="0"/>
              <w:right w:val="single" w:color="000000" w:sz="4" w:space="0"/>
            </w:tcBorders>
            <w:noWrap w:val="0"/>
            <w:tcMar>
              <w:top w:w="113" w:type="dxa"/>
              <w:left w:w="57" w:type="dxa"/>
              <w:bottom w:w="113" w:type="dxa"/>
              <w:right w:w="57" w:type="dxa"/>
            </w:tcMar>
            <w:vAlign w:val="center"/>
          </w:tcPr>
          <w:p>
            <w:pPr>
              <w:keepNext w:val="0"/>
              <w:keepLines w:val="0"/>
              <w:pageBreakBefore w:val="0"/>
              <w:widowControl/>
              <w:kinsoku/>
              <w:wordWrap/>
              <w:overflowPunct/>
              <w:topLinePunct w:val="0"/>
              <w:autoSpaceDE/>
              <w:autoSpaceDN/>
              <w:bidi w:val="0"/>
              <w:spacing w:line="240" w:lineRule="exact"/>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eastAsia="zh-CN" w:bidi="ar"/>
              </w:rPr>
              <w:t>九</w:t>
            </w:r>
            <w:r>
              <w:rPr>
                <w:rFonts w:hint="eastAsia" w:ascii="仿宋_GB2312" w:hAnsi="仿宋_GB2312" w:eastAsia="仿宋_GB2312" w:cs="仿宋_GB2312"/>
                <w:color w:val="auto"/>
                <w:kern w:val="0"/>
                <w:sz w:val="21"/>
                <w:szCs w:val="21"/>
                <w:highlight w:val="none"/>
                <w:u w:val="none"/>
                <w:lang w:bidi="ar"/>
              </w:rPr>
              <w:t>、</w:t>
            </w:r>
            <w:r>
              <w:rPr>
                <w:rFonts w:hint="eastAsia" w:ascii="仿宋_GB2312" w:hAnsi="仿宋_GB2312" w:eastAsia="仿宋_GB2312" w:cs="仿宋_GB2312"/>
                <w:color w:val="auto"/>
                <w:kern w:val="0"/>
                <w:sz w:val="21"/>
                <w:szCs w:val="21"/>
                <w:highlight w:val="none"/>
                <w:u w:val="none"/>
                <w:lang w:eastAsia="zh-CN" w:bidi="ar"/>
              </w:rPr>
              <w:t>法定</w:t>
            </w:r>
            <w:r>
              <w:rPr>
                <w:rFonts w:hint="eastAsia" w:ascii="仿宋_GB2312" w:hAnsi="仿宋_GB2312" w:eastAsia="仿宋_GB2312" w:cs="仿宋_GB2312"/>
                <w:color w:val="auto"/>
                <w:kern w:val="0"/>
                <w:sz w:val="21"/>
                <w:szCs w:val="21"/>
                <w:highlight w:val="none"/>
                <w:u w:val="none"/>
                <w:lang w:bidi="ar"/>
              </w:rPr>
              <w:t>办结时限</w:t>
            </w:r>
          </w:p>
        </w:tc>
        <w:tc>
          <w:tcPr>
            <w:tcW w:w="7767" w:type="dxa"/>
            <w:tcBorders>
              <w:top w:val="single" w:color="000000" w:sz="4" w:space="0"/>
              <w:left w:val="single" w:color="000000" w:sz="4" w:space="0"/>
              <w:bottom w:val="single" w:color="000000" w:sz="4" w:space="0"/>
              <w:right w:val="single" w:color="000000" w:sz="4" w:space="0"/>
            </w:tcBorders>
            <w:noWrap w:val="0"/>
            <w:tcMar>
              <w:top w:w="113" w:type="dxa"/>
              <w:left w:w="170" w:type="dxa"/>
              <w:bottom w:w="113" w:type="dxa"/>
              <w:right w:w="170" w:type="dxa"/>
            </w:tcMar>
            <w:vAlign w:val="center"/>
          </w:tcPr>
          <w:p>
            <w:pPr>
              <w:keepNext w:val="0"/>
              <w:keepLines w:val="0"/>
              <w:pageBreakBefore w:val="0"/>
              <w:widowControl/>
              <w:kinsoku/>
              <w:wordWrap/>
              <w:overflowPunct/>
              <w:topLinePunct w:val="0"/>
              <w:autoSpaceDE/>
              <w:autoSpaceDN/>
              <w:bidi w:val="0"/>
              <w:spacing w:line="240" w:lineRule="exact"/>
              <w:textAlignment w:val="center"/>
              <w:rPr>
                <w:rFonts w:hint="eastAsia" w:ascii="仿宋_GB2312" w:hAnsi="仿宋_GB2312" w:eastAsia="仿宋_GB2312" w:cs="仿宋_GB2312"/>
                <w:color w:val="auto"/>
                <w:sz w:val="21"/>
                <w:szCs w:val="21"/>
                <w:highlight w:val="none"/>
                <w:u w:val="none"/>
                <w:lang w:val="en-US" w:eastAsia="zh-CN"/>
              </w:rPr>
            </w:pPr>
            <w:r>
              <w:rPr>
                <w:rFonts w:hint="eastAsia" w:ascii="仿宋_GB2312" w:hAnsi="仿宋_GB2312" w:eastAsia="仿宋_GB2312" w:cs="仿宋_GB2312"/>
                <w:color w:val="000000"/>
                <w:kern w:val="0"/>
                <w:sz w:val="21"/>
                <w:szCs w:val="21"/>
              </w:rPr>
              <w:t>20</w:t>
            </w:r>
            <w:r>
              <w:rPr>
                <w:rFonts w:hint="eastAsia" w:ascii="仿宋_GB2312" w:hAnsi="仿宋_GB2312" w:eastAsia="仿宋_GB2312" w:cs="仿宋_GB2312"/>
                <w:color w:val="000000"/>
                <w:kern w:val="0"/>
                <w:sz w:val="21"/>
                <w:szCs w:val="21"/>
                <w:lang w:eastAsia="zh-CN"/>
              </w:rPr>
              <w:t>个</w:t>
            </w:r>
            <w:r>
              <w:rPr>
                <w:rFonts w:hint="eastAsia" w:ascii="仿宋_GB2312" w:hAnsi="仿宋_GB2312" w:eastAsia="仿宋_GB2312" w:cs="仿宋_GB2312"/>
                <w:color w:val="000000"/>
                <w:kern w:val="0"/>
                <w:sz w:val="21"/>
                <w:szCs w:val="21"/>
              </w:rPr>
              <w:t>工作日</w:t>
            </w:r>
          </w:p>
        </w:tc>
      </w:tr>
      <w:tr>
        <w:tblPrEx>
          <w:tblCellMar>
            <w:top w:w="0" w:type="dxa"/>
            <w:left w:w="0" w:type="dxa"/>
            <w:bottom w:w="0" w:type="dxa"/>
            <w:right w:w="0" w:type="dxa"/>
          </w:tblCellMar>
        </w:tblPrEx>
        <w:trPr>
          <w:trHeight w:val="57" w:hRule="atLeast"/>
          <w:jc w:val="center"/>
        </w:trPr>
        <w:tc>
          <w:tcPr>
            <w:tcW w:w="1984" w:type="dxa"/>
            <w:tcBorders>
              <w:top w:val="single" w:color="000000" w:sz="4" w:space="0"/>
              <w:left w:val="single" w:color="000000" w:sz="4" w:space="0"/>
              <w:bottom w:val="single" w:color="000000" w:sz="4" w:space="0"/>
              <w:right w:val="single" w:color="000000" w:sz="4" w:space="0"/>
            </w:tcBorders>
            <w:noWrap w:val="0"/>
            <w:tcMar>
              <w:top w:w="113" w:type="dxa"/>
              <w:left w:w="57" w:type="dxa"/>
              <w:bottom w:w="113" w:type="dxa"/>
              <w:right w:w="57" w:type="dxa"/>
            </w:tcMar>
            <w:vAlign w:val="center"/>
          </w:tcPr>
          <w:p>
            <w:pPr>
              <w:keepNext w:val="0"/>
              <w:keepLines w:val="0"/>
              <w:pageBreakBefore w:val="0"/>
              <w:widowControl/>
              <w:kinsoku/>
              <w:wordWrap/>
              <w:overflowPunct/>
              <w:topLinePunct w:val="0"/>
              <w:autoSpaceDE/>
              <w:autoSpaceDN/>
              <w:bidi w:val="0"/>
              <w:spacing w:line="240" w:lineRule="exact"/>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spacing w:val="-11"/>
                <w:kern w:val="0"/>
                <w:sz w:val="21"/>
                <w:szCs w:val="21"/>
                <w:highlight w:val="none"/>
                <w:u w:val="none"/>
                <w:lang w:bidi="ar"/>
              </w:rPr>
              <w:t>十、收费依据及标准</w:t>
            </w:r>
          </w:p>
        </w:tc>
        <w:tc>
          <w:tcPr>
            <w:tcW w:w="7767" w:type="dxa"/>
            <w:tcBorders>
              <w:top w:val="single" w:color="000000" w:sz="4" w:space="0"/>
              <w:left w:val="single" w:color="000000" w:sz="4" w:space="0"/>
              <w:bottom w:val="single" w:color="000000" w:sz="4" w:space="0"/>
              <w:right w:val="single" w:color="000000" w:sz="4" w:space="0"/>
            </w:tcBorders>
            <w:noWrap w:val="0"/>
            <w:tcMar>
              <w:top w:w="113" w:type="dxa"/>
              <w:left w:w="170" w:type="dxa"/>
              <w:bottom w:w="113" w:type="dxa"/>
              <w:right w:w="170" w:type="dxa"/>
            </w:tcMar>
            <w:vAlign w:val="center"/>
          </w:tcPr>
          <w:p>
            <w:pPr>
              <w:keepNext w:val="0"/>
              <w:keepLines w:val="0"/>
              <w:pageBreakBefore w:val="0"/>
              <w:widowControl/>
              <w:kinsoku/>
              <w:wordWrap/>
              <w:overflowPunct/>
              <w:topLinePunct w:val="0"/>
              <w:autoSpaceDE/>
              <w:autoSpaceDN/>
              <w:bidi w:val="0"/>
              <w:spacing w:line="240" w:lineRule="exact"/>
              <w:textAlignment w:val="center"/>
              <w:rPr>
                <w:rFonts w:hint="eastAsia" w:ascii="仿宋_GB2312" w:hAnsi="仿宋_GB2312" w:eastAsia="仿宋_GB2312" w:cs="仿宋_GB2312"/>
                <w:color w:val="auto"/>
                <w:sz w:val="21"/>
                <w:szCs w:val="21"/>
                <w:highlight w:val="none"/>
                <w:u w:val="none"/>
                <w:lang w:eastAsia="zh-CN"/>
              </w:rPr>
            </w:pPr>
            <w:r>
              <w:rPr>
                <w:rFonts w:hint="eastAsia" w:ascii="仿宋_GB2312" w:hAnsi="仿宋_GB2312" w:eastAsia="仿宋_GB2312" w:cs="仿宋_GB2312"/>
                <w:color w:val="auto"/>
                <w:sz w:val="21"/>
                <w:szCs w:val="21"/>
                <w:highlight w:val="none"/>
                <w:u w:val="none"/>
                <w:lang w:eastAsia="zh-CN"/>
              </w:rPr>
              <w:t>不收费</w:t>
            </w:r>
          </w:p>
        </w:tc>
      </w:tr>
      <w:tr>
        <w:tblPrEx>
          <w:tblCellMar>
            <w:top w:w="0" w:type="dxa"/>
            <w:left w:w="0" w:type="dxa"/>
            <w:bottom w:w="0" w:type="dxa"/>
            <w:right w:w="0" w:type="dxa"/>
          </w:tblCellMar>
        </w:tblPrEx>
        <w:trPr>
          <w:trHeight w:val="57" w:hRule="atLeast"/>
          <w:jc w:val="center"/>
        </w:trPr>
        <w:tc>
          <w:tcPr>
            <w:tcW w:w="1984" w:type="dxa"/>
            <w:tcBorders>
              <w:top w:val="single" w:color="000000" w:sz="4" w:space="0"/>
              <w:left w:val="single" w:color="000000" w:sz="4" w:space="0"/>
              <w:bottom w:val="single" w:color="000000" w:sz="4" w:space="0"/>
              <w:right w:val="single" w:color="000000" w:sz="4" w:space="0"/>
            </w:tcBorders>
            <w:noWrap w:val="0"/>
            <w:tcMar>
              <w:top w:w="113" w:type="dxa"/>
              <w:left w:w="57" w:type="dxa"/>
              <w:bottom w:w="113" w:type="dxa"/>
              <w:right w:w="57" w:type="dxa"/>
            </w:tcMar>
            <w:vAlign w:val="center"/>
          </w:tcPr>
          <w:p>
            <w:pPr>
              <w:keepNext w:val="0"/>
              <w:keepLines w:val="0"/>
              <w:pageBreakBefore w:val="0"/>
              <w:widowControl/>
              <w:kinsoku/>
              <w:wordWrap/>
              <w:overflowPunct/>
              <w:topLinePunct w:val="0"/>
              <w:autoSpaceDE/>
              <w:autoSpaceDN/>
              <w:bidi w:val="0"/>
              <w:spacing w:line="240" w:lineRule="exact"/>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十</w:t>
            </w:r>
            <w:r>
              <w:rPr>
                <w:rFonts w:hint="eastAsia" w:ascii="仿宋_GB2312" w:hAnsi="仿宋_GB2312" w:eastAsia="仿宋_GB2312" w:cs="仿宋_GB2312"/>
                <w:color w:val="auto"/>
                <w:kern w:val="0"/>
                <w:sz w:val="21"/>
                <w:szCs w:val="21"/>
                <w:highlight w:val="none"/>
                <w:u w:val="none"/>
                <w:lang w:eastAsia="zh-CN" w:bidi="ar"/>
              </w:rPr>
              <w:t>一</w:t>
            </w:r>
            <w:r>
              <w:rPr>
                <w:rFonts w:hint="eastAsia" w:ascii="仿宋_GB2312" w:hAnsi="仿宋_GB2312" w:eastAsia="仿宋_GB2312" w:cs="仿宋_GB2312"/>
                <w:color w:val="auto"/>
                <w:kern w:val="0"/>
                <w:sz w:val="21"/>
                <w:szCs w:val="21"/>
                <w:highlight w:val="none"/>
                <w:u w:val="none"/>
                <w:lang w:bidi="ar"/>
              </w:rPr>
              <w:t>、结果送达</w:t>
            </w:r>
          </w:p>
        </w:tc>
        <w:tc>
          <w:tcPr>
            <w:tcW w:w="7767" w:type="dxa"/>
            <w:tcBorders>
              <w:top w:val="single" w:color="000000" w:sz="4" w:space="0"/>
              <w:left w:val="single" w:color="000000" w:sz="4" w:space="0"/>
              <w:bottom w:val="single" w:color="000000" w:sz="4" w:space="0"/>
              <w:right w:val="single" w:color="000000" w:sz="4" w:space="0"/>
            </w:tcBorders>
            <w:noWrap w:val="0"/>
            <w:tcMar>
              <w:top w:w="113" w:type="dxa"/>
              <w:left w:w="170" w:type="dxa"/>
              <w:bottom w:w="113" w:type="dxa"/>
              <w:right w:w="170" w:type="dxa"/>
            </w:tcMar>
            <w:vAlign w:val="center"/>
          </w:tcPr>
          <w:p>
            <w:pPr>
              <w:keepNext w:val="0"/>
              <w:keepLines w:val="0"/>
              <w:pageBreakBefore w:val="0"/>
              <w:widowControl/>
              <w:kinsoku/>
              <w:wordWrap/>
              <w:overflowPunct/>
              <w:topLinePunct w:val="0"/>
              <w:autoSpaceDE/>
              <w:autoSpaceDN/>
              <w:bidi w:val="0"/>
              <w:spacing w:line="240" w:lineRule="exact"/>
              <w:textAlignment w:val="center"/>
              <w:rPr>
                <w:rFonts w:hint="eastAsia" w:ascii="仿宋_GB2312" w:hAnsi="仿宋_GB2312" w:eastAsia="仿宋_GB2312" w:cs="仿宋_GB2312"/>
                <w:color w:val="auto"/>
                <w:sz w:val="21"/>
                <w:szCs w:val="21"/>
                <w:highlight w:val="none"/>
                <w:u w:val="none"/>
                <w:lang w:eastAsia="zh-CN"/>
              </w:rPr>
            </w:pPr>
            <w:r>
              <w:rPr>
                <w:rFonts w:hint="eastAsia" w:ascii="仿宋_GB2312" w:hAnsi="仿宋_GB2312" w:eastAsia="仿宋_GB2312" w:cs="仿宋_GB2312"/>
                <w:kern w:val="0"/>
                <w:sz w:val="21"/>
                <w:szCs w:val="21"/>
                <w:lang w:val="en-US" w:eastAsia="zh-CN"/>
              </w:rPr>
              <w:t>无</w:t>
            </w:r>
          </w:p>
        </w:tc>
      </w:tr>
      <w:tr>
        <w:tblPrEx>
          <w:tblCellMar>
            <w:top w:w="0" w:type="dxa"/>
            <w:left w:w="0" w:type="dxa"/>
            <w:bottom w:w="0" w:type="dxa"/>
            <w:right w:w="0" w:type="dxa"/>
          </w:tblCellMar>
        </w:tblPrEx>
        <w:trPr>
          <w:trHeight w:val="57" w:hRule="atLeast"/>
          <w:jc w:val="center"/>
        </w:trPr>
        <w:tc>
          <w:tcPr>
            <w:tcW w:w="1984" w:type="dxa"/>
            <w:tcBorders>
              <w:top w:val="single" w:color="000000" w:sz="4" w:space="0"/>
              <w:left w:val="single" w:color="000000" w:sz="4" w:space="0"/>
              <w:bottom w:val="single" w:color="000000" w:sz="4" w:space="0"/>
              <w:right w:val="single" w:color="000000" w:sz="4" w:space="0"/>
            </w:tcBorders>
            <w:noWrap w:val="0"/>
            <w:tcMar>
              <w:top w:w="113" w:type="dxa"/>
              <w:left w:w="57" w:type="dxa"/>
              <w:bottom w:w="113" w:type="dxa"/>
              <w:right w:w="57" w:type="dxa"/>
            </w:tcMar>
            <w:vAlign w:val="center"/>
          </w:tcPr>
          <w:p>
            <w:pPr>
              <w:keepNext w:val="0"/>
              <w:keepLines w:val="0"/>
              <w:pageBreakBefore w:val="0"/>
              <w:widowControl/>
              <w:kinsoku/>
              <w:wordWrap/>
              <w:overflowPunct/>
              <w:topLinePunct w:val="0"/>
              <w:autoSpaceDE/>
              <w:autoSpaceDN/>
              <w:bidi w:val="0"/>
              <w:spacing w:line="240" w:lineRule="exact"/>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十</w:t>
            </w:r>
            <w:r>
              <w:rPr>
                <w:rFonts w:hint="eastAsia" w:ascii="仿宋_GB2312" w:hAnsi="仿宋_GB2312" w:eastAsia="仿宋_GB2312" w:cs="仿宋_GB2312"/>
                <w:color w:val="auto"/>
                <w:kern w:val="0"/>
                <w:sz w:val="21"/>
                <w:szCs w:val="21"/>
                <w:highlight w:val="none"/>
                <w:u w:val="none"/>
                <w:lang w:eastAsia="zh-CN" w:bidi="ar"/>
              </w:rPr>
              <w:t>二</w:t>
            </w:r>
            <w:r>
              <w:rPr>
                <w:rFonts w:hint="eastAsia" w:ascii="仿宋_GB2312" w:hAnsi="仿宋_GB2312" w:eastAsia="仿宋_GB2312" w:cs="仿宋_GB2312"/>
                <w:color w:val="auto"/>
                <w:kern w:val="0"/>
                <w:sz w:val="21"/>
                <w:szCs w:val="21"/>
                <w:highlight w:val="none"/>
                <w:u w:val="none"/>
                <w:lang w:bidi="ar"/>
              </w:rPr>
              <w:t>、审批决定证书</w:t>
            </w:r>
          </w:p>
        </w:tc>
        <w:tc>
          <w:tcPr>
            <w:tcW w:w="7767" w:type="dxa"/>
            <w:tcBorders>
              <w:top w:val="single" w:color="000000" w:sz="4" w:space="0"/>
              <w:left w:val="single" w:color="000000" w:sz="4" w:space="0"/>
              <w:bottom w:val="single" w:color="000000" w:sz="4" w:space="0"/>
              <w:right w:val="single" w:color="000000" w:sz="4" w:space="0"/>
            </w:tcBorders>
            <w:noWrap w:val="0"/>
            <w:tcMar>
              <w:top w:w="113" w:type="dxa"/>
              <w:left w:w="170" w:type="dxa"/>
              <w:bottom w:w="113" w:type="dxa"/>
              <w:right w:w="170" w:type="dxa"/>
            </w:tcMar>
            <w:vAlign w:val="center"/>
          </w:tcPr>
          <w:p>
            <w:pPr>
              <w:keepNext w:val="0"/>
              <w:keepLines w:val="0"/>
              <w:pageBreakBefore w:val="0"/>
              <w:widowControl/>
              <w:kinsoku/>
              <w:wordWrap/>
              <w:overflowPunct/>
              <w:topLinePunct w:val="0"/>
              <w:autoSpaceDE/>
              <w:autoSpaceDN/>
              <w:bidi w:val="0"/>
              <w:spacing w:line="240" w:lineRule="exact"/>
              <w:textAlignment w:val="center"/>
              <w:rPr>
                <w:rFonts w:hint="eastAsia" w:ascii="仿宋_GB2312" w:hAnsi="仿宋_GB2312" w:eastAsia="仿宋_GB2312" w:cs="仿宋_GB2312"/>
                <w:color w:val="auto"/>
                <w:sz w:val="21"/>
                <w:szCs w:val="21"/>
                <w:highlight w:val="none"/>
                <w:u w:val="none"/>
                <w:lang w:val="en-US" w:eastAsia="zh-CN"/>
              </w:rPr>
            </w:pPr>
            <w:r>
              <w:rPr>
                <w:rFonts w:hint="eastAsia" w:ascii="仿宋_GB2312" w:hAnsi="仿宋_GB2312" w:eastAsia="仿宋_GB2312" w:cs="仿宋_GB2312"/>
                <w:kern w:val="0"/>
                <w:sz w:val="21"/>
                <w:szCs w:val="21"/>
                <w:lang w:val="en-US" w:eastAsia="zh-CN"/>
              </w:rPr>
              <w:t>无</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5NjJiOTgwOWYxZGQ3MjY0ZmRmMzdjODkzNjBhMWQifQ=="/>
  </w:docVars>
  <w:rsids>
    <w:rsidRoot w:val="00000000"/>
    <w:rsid w:val="6E0308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next w:val="4"/>
    <w:unhideWhenUsed/>
    <w:qFormat/>
    <w:uiPriority w:val="99"/>
    <w:pPr>
      <w:spacing w:after="120"/>
      <w:ind w:left="420" w:leftChars="200"/>
    </w:pPr>
  </w:style>
  <w:style w:type="paragraph" w:styleId="4">
    <w:name w:val="Normal Indent"/>
    <w:basedOn w:val="1"/>
    <w:next w:val="1"/>
    <w:qFormat/>
    <w:uiPriority w:val="0"/>
    <w:pPr>
      <w:ind w:firstLine="680"/>
    </w:pPr>
    <w:rPr>
      <w:rFonts w:ascii="Calibri" w:hAnsi="Calibri" w:eastAsia="仿宋_GB2312"/>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2023-09-20T08:50:58Z</dcterms:created>
  <dc:creator>Administrator</dc:creator>
  <cp:lastModifiedBy>Administrator</cp:lastModifiedBy>
  <dcterms:modified xsi:type="dcterms:W3CDTF">2023-09-20T08:51:12Z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2100C22270B0427CA27FE0F1B7CC0E03_12</vt:lpwstr>
  </property>
</Properties>
</file>