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rPr>
          <w:rFonts w:hint="eastAsia" w:ascii="Times New Roman" w:hAnsi="Times New Roman" w:eastAsia="黑体" w:cs="黑体"/>
          <w:bCs/>
          <w:spacing w:val="6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pacing w:val="6"/>
          <w:sz w:val="32"/>
          <w:szCs w:val="32"/>
        </w:rPr>
        <w:t>附件2</w:t>
      </w:r>
    </w:p>
    <w:p>
      <w:pPr>
        <w:bidi w:val="0"/>
        <w:rPr>
          <w:rFonts w:ascii="Times New Roman" w:hAnsi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pacing w:val="6"/>
          <w:sz w:val="44"/>
          <w:szCs w:val="44"/>
        </w:rPr>
      </w:pPr>
      <w:r>
        <w:rPr>
          <w:rFonts w:ascii="Times New Roman" w:hAnsi="Times New Roman" w:eastAsia="方正小标宋简体"/>
          <w:spacing w:val="6"/>
          <w:sz w:val="44"/>
          <w:szCs w:val="44"/>
        </w:rPr>
        <w:t>2023</w:t>
      </w:r>
      <w:r>
        <w:rPr>
          <w:rFonts w:hint="eastAsia" w:ascii="Times New Roman" w:hAnsi="Times New Roman" w:eastAsia="方正小标宋简体"/>
          <w:spacing w:val="6"/>
          <w:sz w:val="44"/>
          <w:szCs w:val="44"/>
        </w:rPr>
        <w:t>年度四川省自然资源调查监测劳动和</w:t>
      </w:r>
    </w:p>
    <w:p>
      <w:pPr>
        <w:adjustRightInd w:val="0"/>
        <w:snapToGrid w:val="0"/>
        <w:spacing w:line="700" w:lineRule="exact"/>
        <w:jc w:val="center"/>
        <w:rPr>
          <w:rFonts w:hint="eastAsia" w:ascii="Times New Roman" w:hAnsi="Times New Roman" w:eastAsia="方正小标宋简体"/>
          <w:spacing w:val="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6"/>
          <w:sz w:val="44"/>
          <w:szCs w:val="44"/>
        </w:rPr>
        <w:t>技能竞赛推荐名额分配表</w:t>
      </w:r>
    </w:p>
    <w:p>
      <w:pPr>
        <w:bidi w:val="0"/>
        <w:rPr>
          <w:rFonts w:ascii="Times New Roman" w:hAnsi="Times New Roman"/>
        </w:rPr>
      </w:pPr>
    </w:p>
    <w:tbl>
      <w:tblPr>
        <w:tblStyle w:val="4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470"/>
        <w:gridCol w:w="882"/>
        <w:gridCol w:w="1181"/>
        <w:gridCol w:w="1061"/>
        <w:gridCol w:w="1923"/>
        <w:gridCol w:w="111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集体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个人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color w:val="000000"/>
                <w:szCs w:val="32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集体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成都市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14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宜宾市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自贡市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15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广安市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攀枝花市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16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达州市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泸州市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17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巴中市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德阳市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18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雅安市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绵阳市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19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阿坝州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广元市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甘孜州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遂宁市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21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凉山州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9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内江市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22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省地质局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资阳市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23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省地调院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11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乐山市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24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省自然资源投资集团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12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眉山市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25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省直部门及相关事业单位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10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86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13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南充市</w:t>
            </w:r>
          </w:p>
        </w:tc>
        <w:tc>
          <w:tcPr>
            <w:tcW w:w="882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8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Style w:val="6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8"/>
                <w:szCs w:val="28"/>
              </w:rPr>
              <w:t>合计</w:t>
            </w:r>
          </w:p>
        </w:tc>
        <w:tc>
          <w:tcPr>
            <w:tcW w:w="1923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69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widowControl/>
              <w:spacing w:line="62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_GB2312"/>
                <w:sz w:val="28"/>
                <w:szCs w:val="28"/>
              </w:rPr>
              <w:t>69</w:t>
            </w:r>
          </w:p>
        </w:tc>
      </w:tr>
    </w:tbl>
    <w:p>
      <w:pPr>
        <w:spacing w:line="540" w:lineRule="exact"/>
        <w:rPr>
          <w:rFonts w:hint="eastAsia" w:ascii="Times New Roman" w:hAnsi="Times New Roman" w:eastAsia="黑体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3B1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7"/>
    <w:qFormat/>
    <w:uiPriority w:val="0"/>
    <w:rPr>
      <w:rFonts w:ascii="Times New Roman" w:hAnsi="Times New Roman"/>
      <w:kern w:val="0"/>
      <w:sz w:val="20"/>
      <w:szCs w:val="20"/>
    </w:rPr>
  </w:style>
  <w:style w:type="paragraph" w:customStyle="1" w:styleId="7">
    <w:name w:val="UserStyle_1"/>
    <w:basedOn w:val="1"/>
    <w:next w:val="1"/>
    <w:link w:val="6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2023-09-06T07:05:45Z</dcterms:created>
  <dc:creator>Administrator</dc:creator>
  <cp:lastModifiedBy>Administrator</cp:lastModifiedBy>
  <dcterms:modified xsi:type="dcterms:W3CDTF">2023-09-06T07:05:54Z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FCB549A17E264B0188815F3CFC8C1BEF_12</vt:lpwstr>
  </property>
</Properties>
</file>