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四川省盐边县冷水箐镍矿深部详查实施方案</w:t>
      </w:r>
      <w:r>
        <w:rPr>
          <w:rFonts w:hint="eastAsia" w:ascii="Times New Roman" w:hAnsi="Times New Roman" w:eastAsia="方正小标宋简体" w:cs="Times New Roman"/>
          <w:sz w:val="36"/>
          <w:szCs w:val="36"/>
          <w:lang w:eastAsia="zh-CN"/>
        </w:rPr>
        <w:t>》</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评审意见书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2024年</w:t>
      </w:r>
      <w:r>
        <w:rPr>
          <w:rFonts w:hint="default" w:ascii="Times New Roman" w:hAnsi="Times New Roman" w:eastAsia="方正小标宋简体" w:cs="Times New Roman"/>
          <w:sz w:val="32"/>
          <w:szCs w:val="32"/>
          <w:lang w:val="en-US" w:eastAsia="zh-CN"/>
        </w:rPr>
        <w:t>3</w:t>
      </w:r>
      <w:r>
        <w:rPr>
          <w:rFonts w:hint="default" w:ascii="Times New Roman" w:hAnsi="Times New Roman" w:eastAsia="方正小标宋简体" w:cs="Times New Roman"/>
          <w:sz w:val="32"/>
          <w:szCs w:val="32"/>
        </w:rPr>
        <w:t>月</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日</w:t>
      </w:r>
    </w:p>
    <w:p>
      <w:pPr>
        <w:adjustRightInd w:val="0"/>
        <w:snapToGrid w:val="0"/>
        <w:spacing w:line="560" w:lineRule="exact"/>
        <w:jc w:val="distribute"/>
        <w:rPr>
          <w:rFonts w:hint="default" w:ascii="Times New Roman" w:hAnsi="Times New Roman" w:eastAsia="仿宋_GB2312" w:cs="Times New Roman"/>
          <w:snapToGrid w:val="0"/>
          <w:sz w:val="28"/>
          <w:szCs w:val="28"/>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page" w:horzAnchor="page" w:tblpX="1864" w:tblpY="1716"/>
        <w:tblW w:w="8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870"/>
        <w:gridCol w:w="240"/>
        <w:gridCol w:w="1305"/>
        <w:gridCol w:w="1175"/>
        <w:gridCol w:w="702"/>
        <w:gridCol w:w="423"/>
        <w:gridCol w:w="1166"/>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申请单位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盐边县宏大铜镍有限责任公司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编制单位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四川省冶金地质勘查局六0五大队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方案主编人员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130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彭召强</w:t>
            </w:r>
          </w:p>
        </w:tc>
        <w:tc>
          <w:tcPr>
            <w:tcW w:w="117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刘  博</w:t>
            </w:r>
          </w:p>
        </w:tc>
        <w:tc>
          <w:tcPr>
            <w:tcW w:w="1125" w:type="dxa"/>
            <w:gridSpan w:val="2"/>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7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25" w:type="dxa"/>
            <w:gridSpan w:val="2"/>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7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25"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7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25"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评审专家组</w:t>
            </w:r>
          </w:p>
        </w:tc>
        <w:tc>
          <w:tcPr>
            <w:tcW w:w="3422" w:type="dxa"/>
            <w:gridSpan w:val="4"/>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926" w:type="dxa"/>
            <w:gridSpan w:val="3"/>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组长</w:t>
            </w:r>
          </w:p>
        </w:tc>
        <w:tc>
          <w:tcPr>
            <w:tcW w:w="24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胡夕鹏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成员</w:t>
            </w:r>
          </w:p>
        </w:tc>
        <w:tc>
          <w:tcPr>
            <w:tcW w:w="24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刘图强   阚泽忠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2"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评审方式</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会审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评审时间</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2024年01月18日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评审会议地点</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exact"/>
        </w:trPr>
        <w:tc>
          <w:tcPr>
            <w:tcW w:w="2271" w:type="dxa"/>
            <w:gridSpan w:val="2"/>
            <w:vAlign w:val="center"/>
          </w:tcPr>
          <w:p>
            <w:pPr>
              <w:ind w:firstLine="640"/>
              <w:rPr>
                <w:rFonts w:hint="default" w:ascii="Times New Roman" w:hAnsi="Times New Roman" w:eastAsia="仿宋_GB2312" w:cs="Times New Roman"/>
                <w:snapToGrid w:val="0"/>
                <w:szCs w:val="32"/>
              </w:rPr>
            </w:pPr>
          </w:p>
        </w:tc>
        <w:tc>
          <w:tcPr>
            <w:tcW w:w="240" w:type="dxa"/>
            <w:vAlign w:val="center"/>
          </w:tcPr>
          <w:p>
            <w:pPr>
              <w:ind w:firstLine="640"/>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w:t>
            </w:r>
          </w:p>
        </w:tc>
        <w:tc>
          <w:tcPr>
            <w:tcW w:w="6108" w:type="dxa"/>
            <w:gridSpan w:val="6"/>
            <w:vAlign w:val="center"/>
          </w:tcPr>
          <w:p>
            <w:pPr>
              <w:ind w:firstLine="640"/>
              <w:rPr>
                <w:rFonts w:hint="default" w:ascii="Times New Roman" w:hAnsi="Times New Roman" w:eastAsia="仿宋_GB2312" w:cs="Times New Roman"/>
                <w:snapToGrid w:val="0"/>
                <w:szCs w:val="32"/>
              </w:rPr>
            </w:pPr>
          </w:p>
        </w:tc>
      </w:tr>
    </w:tbl>
    <w:p>
      <w:pPr>
        <w:jc w:val="center"/>
        <w:rPr>
          <w:rFonts w:hint="default" w:ascii="Times New Roman" w:hAnsi="Times New Roman" w:eastAsia="黑体" w:cs="Times New Roman"/>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cs="Times New Roman"/>
          <w:b/>
          <w:sz w:val="32"/>
          <w:szCs w:val="32"/>
        </w:rPr>
      </w:pPr>
      <w:bookmarkStart w:id="0" w:name="_Toc414354278"/>
      <w:bookmarkStart w:id="1" w:name="_Toc407104302"/>
      <w:r>
        <w:rPr>
          <w:rFonts w:hint="default" w:ascii="Times New Roman" w:hAnsi="Times New Roman" w:cs="Times New Roman"/>
          <w:b/>
          <w:sz w:val="32"/>
          <w:szCs w:val="32"/>
        </w:rPr>
        <w:t>项目概况表</w:t>
      </w:r>
      <w:bookmarkEnd w:id="0"/>
      <w:bookmarkEnd w:id="1"/>
    </w:p>
    <w:tbl>
      <w:tblPr>
        <w:tblStyle w:val="6"/>
        <w:tblpPr w:leftFromText="180" w:rightFromText="180" w:vertAnchor="text" w:horzAnchor="page" w:tblpX="1474" w:tblpY="399"/>
        <w:tblOverlap w:val="never"/>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99"/>
        <w:gridCol w:w="1939"/>
        <w:gridCol w:w="359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184" w:type="dxa"/>
            <w:gridSpan w:val="3"/>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四川省盐边县冷水箐镍矿深部详查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申请单位</w:t>
            </w:r>
          </w:p>
        </w:tc>
        <w:tc>
          <w:tcPr>
            <w:tcW w:w="7184" w:type="dxa"/>
            <w:gridSpan w:val="3"/>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盐边县宏大铜镍有限责任公司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勘查单位</w:t>
            </w:r>
          </w:p>
        </w:tc>
        <w:tc>
          <w:tcPr>
            <w:tcW w:w="7184" w:type="dxa"/>
            <w:gridSpan w:val="3"/>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四川省冶金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地质勘查局六0五大队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项目所在省市</w:t>
            </w:r>
          </w:p>
        </w:tc>
        <w:tc>
          <w:tcPr>
            <w:tcW w:w="193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四川省</w:t>
            </w:r>
            <w:r>
              <w:rPr>
                <w:rFonts w:hint="default" w:ascii="Times New Roman" w:hAnsi="Times New Roman" w:eastAsia="仿宋_GB2312" w:cs="Times New Roman"/>
                <w:color w:val="000000"/>
                <w:sz w:val="24"/>
                <w:szCs w:val="24"/>
                <w:lang w:val="en-US" w:eastAsia="zh-CN"/>
              </w:rPr>
              <w:t>攀枝花市</w:t>
            </w:r>
          </w:p>
        </w:tc>
        <w:tc>
          <w:tcPr>
            <w:tcW w:w="3598"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申请</w:t>
            </w:r>
            <w:r>
              <w:rPr>
                <w:rFonts w:hint="default" w:ascii="Times New Roman" w:hAnsi="Times New Roman" w:eastAsia="仿宋_GB2312" w:cs="Times New Roman"/>
                <w:sz w:val="24"/>
                <w:szCs w:val="24"/>
                <w:lang w:val="en-US" w:eastAsia="zh-CN"/>
              </w:rPr>
              <w:t>目的</w:t>
            </w:r>
          </w:p>
        </w:tc>
        <w:tc>
          <w:tcPr>
            <w:tcW w:w="1647"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调整坑探工程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勘查矿种</w:t>
            </w:r>
          </w:p>
        </w:tc>
        <w:tc>
          <w:tcPr>
            <w:tcW w:w="193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镍矿</w:t>
            </w:r>
          </w:p>
        </w:tc>
        <w:tc>
          <w:tcPr>
            <w:tcW w:w="3598"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勘查面积</w:t>
            </w:r>
          </w:p>
        </w:tc>
        <w:tc>
          <w:tcPr>
            <w:tcW w:w="1647"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0.2191km</w:t>
            </w:r>
            <w:r>
              <w:rPr>
                <w:rFonts w:hint="default" w:ascii="Times New Roman" w:hAnsi="Times New Roman" w:eastAsia="仿宋_GB2312"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149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勘查阶段</w:t>
            </w:r>
          </w:p>
        </w:tc>
        <w:tc>
          <w:tcPr>
            <w:tcW w:w="1939"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详查</w:t>
            </w:r>
          </w:p>
        </w:tc>
        <w:tc>
          <w:tcPr>
            <w:tcW w:w="3598"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预算经费（万元）</w:t>
            </w:r>
          </w:p>
        </w:tc>
        <w:tc>
          <w:tcPr>
            <w:tcW w:w="1647" w:type="dxa"/>
            <w:vAlign w:val="center"/>
          </w:tcPr>
          <w:p>
            <w:pPr>
              <w:keepNext w:val="0"/>
              <w:keepLines w:val="0"/>
              <w:pageBreakBefore w:val="0"/>
              <w:widowControl w:val="0"/>
              <w:kinsoku/>
              <w:wordWrap/>
              <w:overflowPunct/>
              <w:topLinePunct w:val="0"/>
              <w:bidi w:val="0"/>
              <w:adjustRightInd w:val="0"/>
              <w:snapToGrid/>
              <w:spacing w:line="280" w:lineRule="exact"/>
              <w:ind w:left="0" w:lef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bidi="ar"/>
              </w:rPr>
              <w:t>1339.87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rPr>
        <w:tc>
          <w:tcPr>
            <w:tcW w:w="1499" w:type="dxa"/>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勘查范围</w:t>
            </w:r>
          </w:p>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sz w:val="24"/>
                <w:szCs w:val="24"/>
                <w:lang w:val="en-US" w:eastAsia="zh-CN"/>
              </w:rPr>
              <w:t>拐点坐标</w:t>
            </w:r>
          </w:p>
        </w:tc>
        <w:tc>
          <w:tcPr>
            <w:tcW w:w="7184" w:type="dxa"/>
            <w:gridSpan w:val="3"/>
            <w:vAlign w:val="center"/>
          </w:tcPr>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2887"/>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拐点编号</w:t>
                  </w:r>
                </w:p>
              </w:tc>
              <w:tc>
                <w:tcPr>
                  <w:tcW w:w="20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东经</w:t>
                  </w:r>
                </w:p>
              </w:tc>
              <w:tc>
                <w:tcPr>
                  <w:tcW w:w="19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北纬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101°33′13.491″</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101°33′20.267″</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101°33′23.362″</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26°48′02.552″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4</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101°33′29.172″</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5</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101°33′43.063″</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6</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101°33′48.151″</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26°48′13.923″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7</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101°33′47.917″</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26°48′14.772″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8</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101°33′44.406″</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9</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101°33′40.981″</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26°48′16.911″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101°33′39.527″</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11</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101°33′25.745″</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26°48′13.614″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12</w:t>
                  </w:r>
                </w:p>
              </w:tc>
              <w:tc>
                <w:tcPr>
                  <w:tcW w:w="20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101°33′15.985″</w:t>
                  </w:r>
                </w:p>
              </w:tc>
              <w:tc>
                <w:tcPr>
                  <w:tcW w:w="191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26°48′07.621″</w:t>
                  </w:r>
                </w:p>
              </w:tc>
            </w:tr>
          </w:tbl>
          <w:p>
            <w:pPr>
              <w:keepNext w:val="0"/>
              <w:keepLines w:val="0"/>
              <w:pageBreakBefore w:val="0"/>
              <w:widowControl w:val="0"/>
              <w:kinsoku/>
              <w:wordWrap/>
              <w:overflowPunct/>
              <w:topLinePunct w:val="0"/>
              <w:autoSpaceDE/>
              <w:autoSpaceDN/>
              <w:bidi w:val="0"/>
              <w:adjustRightInd w:val="0"/>
              <w:snapToGrid/>
              <w:spacing w:line="480" w:lineRule="exact"/>
              <w:ind w:left="0" w:leftChars="0" w:firstLine="560" w:firstLineChars="200"/>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rPr>
        <w:tc>
          <w:tcPr>
            <w:tcW w:w="1499" w:type="dxa"/>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目的任务</w:t>
            </w:r>
          </w:p>
        </w:tc>
        <w:tc>
          <w:tcPr>
            <w:tcW w:w="7184" w:type="dxa"/>
            <w:gridSpan w:val="3"/>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深部坑内钻探和坑探工程，基本查明Ⅳ号矿体的深部延伸形态、规模、产状、厚度、品位及其变化规律等情况，确定矿体的连续性及夹石分布特征。开综合评价，估算控制+推断资源量，为探转采工作提供地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trPr>
        <w:tc>
          <w:tcPr>
            <w:tcW w:w="1499" w:type="dxa"/>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技术方法</w:t>
            </w:r>
          </w:p>
        </w:tc>
        <w:tc>
          <w:tcPr>
            <w:tcW w:w="7184" w:type="dxa"/>
            <w:gridSpan w:val="3"/>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采用少量坑探、系统的钻探</w:t>
            </w:r>
            <w:r>
              <w:rPr>
                <w:rFonts w:hint="default" w:ascii="Times New Roman" w:hAnsi="Times New Roman" w:eastAsia="仿宋_GB2312" w:cs="Times New Roman"/>
                <w:sz w:val="24"/>
                <w:szCs w:val="24"/>
                <w:lang w:val="en-US" w:eastAsia="zh-CN"/>
              </w:rPr>
              <w:t>工程</w:t>
            </w:r>
            <w:r>
              <w:rPr>
                <w:rFonts w:hint="default" w:ascii="Times New Roman" w:hAnsi="Times New Roman" w:eastAsia="仿宋_GB2312" w:cs="Times New Roman"/>
                <w:sz w:val="24"/>
                <w:szCs w:val="24"/>
              </w:rPr>
              <w:t>控制、取样测试等方法，基本查明勘查区地质及矿体地质特征，估算控制</w:t>
            </w:r>
            <w:r>
              <w:rPr>
                <w:rFonts w:hint="eastAsia" w:ascii="Times New Roman" w:hAnsi="Times New Roman" w:eastAsia="仿宋_GB2312" w:cs="Times New Roman"/>
                <w:sz w:val="24"/>
                <w:szCs w:val="24"/>
                <w:lang w:val="en-US" w:eastAsia="zh-CN"/>
              </w:rPr>
              <w:t>资源量</w:t>
            </w:r>
            <w:r>
              <w:rPr>
                <w:rFonts w:hint="default" w:ascii="Times New Roman" w:hAnsi="Times New Roman" w:eastAsia="仿宋_GB2312" w:cs="Times New Roman"/>
                <w:sz w:val="24"/>
                <w:szCs w:val="24"/>
              </w:rPr>
              <w:t>+推断资源量。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rPr>
        <w:tc>
          <w:tcPr>
            <w:tcW w:w="1499" w:type="dxa"/>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主要实物工作量</w:t>
            </w:r>
          </w:p>
        </w:tc>
        <w:tc>
          <w:tcPr>
            <w:tcW w:w="7184" w:type="dxa"/>
            <w:gridSpan w:val="3"/>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firstLine="352" w:firstLineChars="147"/>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主要实物工作量为坑探411m，钻探5955m，</w:t>
            </w:r>
            <w:r>
              <w:rPr>
                <w:rFonts w:hint="default" w:ascii="Times New Roman" w:hAnsi="Times New Roman" w:eastAsia="仿宋_GB2312" w:cs="Times New Roman"/>
                <w:sz w:val="24"/>
                <w:szCs w:val="24"/>
                <w:lang w:val="en-US" w:eastAsia="zh-CN"/>
              </w:rPr>
              <w:t>各类</w:t>
            </w:r>
            <w:r>
              <w:rPr>
                <w:rFonts w:hint="default" w:ascii="Times New Roman" w:hAnsi="Times New Roman" w:eastAsia="仿宋_GB2312" w:cs="Times New Roman"/>
                <w:sz w:val="24"/>
                <w:szCs w:val="24"/>
              </w:rPr>
              <w:t>岩矿</w:t>
            </w:r>
            <w:r>
              <w:rPr>
                <w:rFonts w:hint="default" w:ascii="Times New Roman" w:hAnsi="Times New Roman" w:eastAsia="仿宋_GB2312" w:cs="Times New Roman"/>
                <w:sz w:val="24"/>
                <w:szCs w:val="24"/>
                <w:lang w:val="en-US" w:eastAsia="zh-CN"/>
              </w:rPr>
              <w:t>测试样</w:t>
            </w:r>
            <w:r>
              <w:rPr>
                <w:rFonts w:hint="default" w:ascii="Times New Roman" w:hAnsi="Times New Roman" w:eastAsia="仿宋_GB2312" w:cs="Times New Roman"/>
                <w:sz w:val="24"/>
                <w:szCs w:val="24"/>
              </w:rPr>
              <w:t>1000件</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8" w:hRule="atLeast"/>
        </w:trPr>
        <w:tc>
          <w:tcPr>
            <w:tcW w:w="1499" w:type="dxa"/>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预期成果</w:t>
            </w:r>
          </w:p>
        </w:tc>
        <w:tc>
          <w:tcPr>
            <w:tcW w:w="7184" w:type="dxa"/>
            <w:gridSpan w:val="3"/>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提交《四川省盐边县冷水箐镍矿</w:t>
            </w:r>
            <w:r>
              <w:rPr>
                <w:rFonts w:hint="default" w:ascii="Times New Roman" w:hAnsi="Times New Roman" w:eastAsia="仿宋_GB2312" w:cs="Times New Roman"/>
                <w:sz w:val="24"/>
                <w:szCs w:val="24"/>
                <w:lang w:val="en-US" w:eastAsia="zh-CN"/>
              </w:rPr>
              <w:t>深部</w:t>
            </w:r>
            <w:r>
              <w:rPr>
                <w:rFonts w:hint="default" w:ascii="Times New Roman" w:hAnsi="Times New Roman" w:eastAsia="仿宋_GB2312" w:cs="Times New Roman"/>
                <w:sz w:val="24"/>
                <w:szCs w:val="24"/>
              </w:rPr>
              <w:t>详查报告》</w:t>
            </w:r>
            <w:r>
              <w:rPr>
                <w:rFonts w:hint="default" w:ascii="Times New Roman" w:hAnsi="Times New Roman" w:eastAsia="仿宋_GB2312" w:cs="Times New Roman"/>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cs="Times New Roman"/>
          <w:b/>
          <w:sz w:val="32"/>
          <w:szCs w:val="32"/>
        </w:rPr>
      </w:pPr>
    </w:p>
    <w:p>
      <w:pPr>
        <w:pStyle w:val="5"/>
        <w:spacing w:before="240" w:line="560" w:lineRule="exact"/>
        <w:ind w:firstLine="600"/>
        <w:rPr>
          <w:rFonts w:hint="default" w:ascii="Times New Roman" w:hAnsi="Times New Roman" w:eastAsia="仿宋_GB2312" w:cs="Times New Roman"/>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pStyle w:val="5"/>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w:t>
      </w:r>
      <w:r>
        <w:rPr>
          <w:rFonts w:hint="default" w:ascii="Times New Roman" w:hAnsi="Times New Roman" w:eastAsia="仿宋_GB2312" w:cs="Times New Roman"/>
          <w:sz w:val="30"/>
          <w:szCs w:val="30"/>
          <w:lang w:val="en-US" w:eastAsia="zh-CN"/>
        </w:rPr>
        <w:t>调整四川省盐边县冷水箐镍矿深部坑探工程</w:t>
      </w:r>
      <w:r>
        <w:rPr>
          <w:rFonts w:hint="default" w:ascii="Times New Roman" w:hAnsi="Times New Roman" w:eastAsia="仿宋_GB2312" w:cs="Times New Roman"/>
          <w:sz w:val="30"/>
          <w:szCs w:val="30"/>
        </w:rPr>
        <w:t>，盐边县宏大铜镍有限责任公司委托四川省冶金地质勘查局六0五大队编制了《四川省盐边县冷水箐镍矿深部详查实施方案》（以下简称《方案》），四川省矿产资源储量评审中心组织专家对《方案》进行了审查，编制单位按照专家意见对《方案》进行了修改完善，经专家组复核，形成评审意见如下。</w:t>
      </w:r>
    </w:p>
    <w:p>
      <w:pPr>
        <w:pStyle w:val="5"/>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一、交通位置</w:t>
      </w:r>
    </w:p>
    <w:p>
      <w:pPr>
        <w:pStyle w:val="5"/>
        <w:adjustRightInd w:val="0"/>
        <w:snapToGrid w:val="0"/>
        <w:spacing w:line="560" w:lineRule="exact"/>
        <w:ind w:firstLine="6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区位于攀枝花市盐边县城295°方位</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直距约32km</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盐边县渔门镇。区</w:t>
      </w:r>
      <w:r>
        <w:rPr>
          <w:rFonts w:hint="default" w:ascii="Times New Roman" w:hAnsi="Times New Roman" w:eastAsia="仿宋_GB2312" w:cs="Times New Roman"/>
          <w:sz w:val="30"/>
          <w:szCs w:val="30"/>
          <w:lang w:val="en-US" w:eastAsia="zh-CN"/>
        </w:rPr>
        <w:t>内</w:t>
      </w:r>
      <w:r>
        <w:rPr>
          <w:rFonts w:hint="default" w:ascii="Times New Roman" w:hAnsi="Times New Roman" w:eastAsia="仿宋_GB2312" w:cs="Times New Roman"/>
          <w:sz w:val="30"/>
          <w:szCs w:val="30"/>
        </w:rPr>
        <w:t>有9.5km林区公路</w:t>
      </w:r>
      <w:r>
        <w:rPr>
          <w:rFonts w:hint="eastAsia" w:ascii="Times New Roman" w:hAnsi="Times New Roman" w:eastAsia="仿宋_GB2312" w:cs="Times New Roman"/>
          <w:sz w:val="30"/>
          <w:szCs w:val="30"/>
          <w:lang w:val="en-US" w:eastAsia="zh-CN"/>
        </w:rPr>
        <w:t>至</w:t>
      </w:r>
      <w:r>
        <w:rPr>
          <w:rFonts w:hint="default" w:ascii="Times New Roman" w:hAnsi="Times New Roman" w:eastAsia="仿宋_GB2312" w:cs="Times New Roman"/>
          <w:sz w:val="30"/>
          <w:szCs w:val="30"/>
        </w:rPr>
        <w:t>S216省道，S216省道</w:t>
      </w:r>
      <w:r>
        <w:rPr>
          <w:rFonts w:hint="eastAsia" w:ascii="Times New Roman" w:hAnsi="Times New Roman" w:eastAsia="仿宋_GB2312" w:cs="Times New Roman"/>
          <w:sz w:val="30"/>
          <w:szCs w:val="30"/>
          <w:lang w:val="en-US" w:eastAsia="zh-CN"/>
        </w:rPr>
        <w:t>至盐边县城</w:t>
      </w:r>
      <w:r>
        <w:rPr>
          <w:rFonts w:hint="default" w:ascii="Times New Roman" w:hAnsi="Times New Roman" w:eastAsia="仿宋_GB2312" w:cs="Times New Roman"/>
          <w:sz w:val="30"/>
          <w:szCs w:val="30"/>
          <w:lang w:val="en-US" w:eastAsia="zh-CN"/>
        </w:rPr>
        <w:t>约78.7km公路里程，</w:t>
      </w:r>
      <w:r>
        <w:rPr>
          <w:rFonts w:hint="default" w:ascii="Times New Roman" w:hAnsi="Times New Roman" w:eastAsia="仿宋_GB2312" w:cs="Times New Roman"/>
          <w:sz w:val="30"/>
          <w:szCs w:val="30"/>
        </w:rPr>
        <w:t>交通较便利。</w:t>
      </w:r>
    </w:p>
    <w:p>
      <w:pPr>
        <w:pStyle w:val="5"/>
        <w:adjustRightInd w:val="0"/>
        <w:snapToGrid w:val="0"/>
        <w:spacing w:line="560" w:lineRule="exact"/>
        <w:ind w:firstLine="6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二、项目概况</w:t>
      </w:r>
    </w:p>
    <w:p>
      <w:pPr>
        <w:pStyle w:val="5"/>
        <w:adjustRightInd w:val="0"/>
        <w:snapToGrid w:val="0"/>
        <w:spacing w:line="560" w:lineRule="exact"/>
        <w:ind w:firstLine="6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四川省盐边县冷水箐铜镍矿深部延伸</w:t>
      </w:r>
      <w:r>
        <w:rPr>
          <w:rFonts w:hint="default" w:ascii="Times New Roman" w:hAnsi="Times New Roman" w:eastAsia="仿宋_GB2312" w:cs="Times New Roman"/>
          <w:sz w:val="30"/>
          <w:szCs w:val="30"/>
          <w:lang w:val="en-US" w:eastAsia="zh-CN"/>
        </w:rPr>
        <w:t>勘查探矿权由盐边县宏大铜镍有限公司</w:t>
      </w:r>
      <w:r>
        <w:rPr>
          <w:rFonts w:hint="eastAsia" w:ascii="Times New Roman" w:hAnsi="Times New Roman" w:eastAsia="仿宋_GB2312" w:cs="Times New Roman"/>
          <w:sz w:val="30"/>
          <w:szCs w:val="30"/>
          <w:lang w:val="en-US" w:eastAsia="zh-CN"/>
        </w:rPr>
        <w:t>于</w:t>
      </w:r>
      <w:r>
        <w:rPr>
          <w:rFonts w:hint="default" w:ascii="Times New Roman" w:hAnsi="Times New Roman" w:eastAsia="仿宋_GB2312" w:cs="Times New Roman"/>
          <w:sz w:val="30"/>
          <w:szCs w:val="30"/>
          <w:lang w:val="en-US" w:eastAsia="zh-CN"/>
        </w:rPr>
        <w:t>2013年以申请在先方式取得，经多次延续，现</w:t>
      </w:r>
      <w:r>
        <w:rPr>
          <w:rFonts w:hint="default" w:ascii="Times New Roman" w:hAnsi="Times New Roman" w:eastAsia="仿宋_GB2312" w:cs="Times New Roman"/>
          <w:sz w:val="30"/>
          <w:szCs w:val="30"/>
        </w:rPr>
        <w:t>勘查许可证号</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T5112131002048422，探矿权人为盐边县宏大铜镍有限责任公司，勘查主矿种为镍矿，勘查面积</w:t>
      </w:r>
      <w:r>
        <w:rPr>
          <w:rFonts w:hint="eastAsia"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0.2191km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，有效期自2020年10月11日至2025年10月11日。探矿权范围由12</w:t>
      </w:r>
      <w:r>
        <w:rPr>
          <w:rFonts w:hint="default" w:ascii="Times New Roman" w:hAnsi="Times New Roman" w:eastAsia="仿宋_GB2312" w:cs="Times New Roman"/>
          <w:sz w:val="30"/>
          <w:szCs w:val="30"/>
          <w:lang w:val="en-US" w:eastAsia="zh-CN"/>
        </w:rPr>
        <w:t>个</w:t>
      </w:r>
      <w:r>
        <w:rPr>
          <w:rFonts w:hint="default" w:ascii="Times New Roman" w:hAnsi="Times New Roman" w:eastAsia="仿宋_GB2312" w:cs="Times New Roman"/>
          <w:sz w:val="30"/>
          <w:szCs w:val="30"/>
        </w:rPr>
        <w:t>拐点</w:t>
      </w:r>
      <w:r>
        <w:rPr>
          <w:rFonts w:hint="default" w:ascii="Times New Roman" w:hAnsi="Times New Roman" w:eastAsia="仿宋_GB2312" w:cs="Times New Roman"/>
          <w:sz w:val="30"/>
          <w:szCs w:val="30"/>
          <w:lang w:val="en-US" w:eastAsia="zh-CN"/>
        </w:rPr>
        <w:t>圈闭</w:t>
      </w:r>
      <w:r>
        <w:rPr>
          <w:rFonts w:hint="default" w:ascii="Times New Roman" w:hAnsi="Times New Roman" w:eastAsia="仿宋_GB2312" w:cs="Times New Roman"/>
          <w:sz w:val="30"/>
          <w:szCs w:val="30"/>
        </w:rPr>
        <w:t>，拐点坐标（2000国家坐标系）见下表。</w:t>
      </w:r>
    </w:p>
    <w:tbl>
      <w:tblPr>
        <w:tblStyle w:val="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073"/>
        <w:gridCol w:w="3728"/>
        <w:gridCol w:w="3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Heade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拐点号</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东经</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北纬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101°33′13.491″</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26°48′06.140″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101°33′20.267″</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26°48′03.323″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101°33′23.362″</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26°48′02.552″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101°33′29.172″</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26°48′03.486″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101°33′43.063″</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26°48′09.729″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101°33′48.151″</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26°48′13.923″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101°33′47.917″</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26°48′14.772″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101°33′44.406″</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26°48′16.362″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101°33′40.981″</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26°48′16.911″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101°33′39.527″</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26°48′16.612″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101°33′25.745″</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26°48′13.614″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30"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187"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101°33′15.985″</w:t>
            </w:r>
          </w:p>
        </w:tc>
        <w:tc>
          <w:tcPr>
            <w:tcW w:w="2184" w:type="pct"/>
            <w:vAlign w:val="center"/>
          </w:tcPr>
          <w:p>
            <w:pPr>
              <w:pStyle w:val="5"/>
              <w:adjustRightInd w:val="0"/>
              <w:snapToGrid w:val="0"/>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26°48′07.621″</w:t>
            </w:r>
          </w:p>
        </w:tc>
      </w:tr>
    </w:tbl>
    <w:p>
      <w:pPr>
        <w:pStyle w:val="5"/>
        <w:adjustRightInd w:val="0"/>
        <w:snapToGrid w:val="0"/>
        <w:spacing w:line="560" w:lineRule="exact"/>
        <w:ind w:firstLine="600"/>
        <w:jc w:val="left"/>
        <w:rPr>
          <w:rFonts w:hint="eastAsia"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rPr>
        <w:t>盐边县宏大铜镍有限责任公司</w:t>
      </w:r>
      <w:r>
        <w:rPr>
          <w:rFonts w:hint="eastAsia" w:ascii="Times New Roman" w:hAnsi="Times New Roman" w:eastAsia="仿宋_GB2312" w:cs="Times New Roman"/>
          <w:sz w:val="30"/>
          <w:szCs w:val="30"/>
          <w:lang w:val="en-US" w:eastAsia="zh-CN"/>
        </w:rPr>
        <w:t>通过转让方式取得盐边县宏大铜镍有限责任公司冷水箐铜镍矿采矿权，经多次延续，现采矿许可证号为C5100002010123120095006，开采矿种为镍矿，开采方式为地下开采，生产规模为30万吨/年，开采标高为+2170m～+1900m，采矿权范围由12个拐点圈闭（拐点坐标见下表），面积为0.2192km</w:t>
      </w:r>
      <w:r>
        <w:rPr>
          <w:rFonts w:hint="eastAsia" w:ascii="Times New Roman" w:hAnsi="Times New Roman" w:eastAsia="仿宋_GB2312" w:cs="Times New Roman"/>
          <w:sz w:val="30"/>
          <w:szCs w:val="30"/>
          <w:vertAlign w:val="superscript"/>
          <w:lang w:val="en-US" w:eastAsia="zh-CN"/>
        </w:rPr>
        <w:t>2</w:t>
      </w:r>
      <w:r>
        <w:rPr>
          <w:rFonts w:hint="eastAsia" w:ascii="Times New Roman" w:hAnsi="Times New Roman" w:eastAsia="仿宋_GB2312" w:cs="Times New Roman"/>
          <w:sz w:val="30"/>
          <w:szCs w:val="30"/>
          <w:vertAlign w:val="baseline"/>
          <w:lang w:val="en-US" w:eastAsia="zh-CN"/>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440"/>
        <w:gridCol w:w="1570"/>
        <w:gridCol w:w="1249"/>
        <w:gridCol w:w="1440"/>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拐点编号</w:t>
            </w:r>
          </w:p>
        </w:tc>
        <w:tc>
          <w:tcPr>
            <w:tcW w:w="176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2000</w:t>
            </w:r>
            <w:r>
              <w:rPr>
                <w:rStyle w:val="17"/>
                <w:rFonts w:hint="default" w:ascii="Times New Roman" w:hAnsi="Times New Roman" w:eastAsia="仿宋_GB2312" w:cs="Times New Roman"/>
                <w:sz w:val="24"/>
                <w:szCs w:val="24"/>
                <w:lang w:val="en-US" w:eastAsia="zh-CN" w:bidi="ar"/>
              </w:rPr>
              <w:t>国家大地坐标系</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拐点编号</w:t>
            </w:r>
          </w:p>
        </w:tc>
        <w:tc>
          <w:tcPr>
            <w:tcW w:w="176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2000</w:t>
            </w:r>
            <w:r>
              <w:rPr>
                <w:rStyle w:val="17"/>
                <w:rFonts w:hint="default" w:ascii="Times New Roman" w:hAnsi="Times New Roman" w:eastAsia="仿宋_GB2312" w:cs="Times New Roman"/>
                <w:sz w:val="24"/>
                <w:szCs w:val="24"/>
                <w:lang w:val="en-US" w:eastAsia="zh-CN" w:bidi="ar"/>
              </w:rPr>
              <w:t>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X</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Y</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X</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2965736.85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34455629.55</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2965999.22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34456581.28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2965649.48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34455816.39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2966048.49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34456484.49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2965625.47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34455901.78</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2966065.71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34456389.95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2965653.66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34456062.37</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2966056.67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34456349.75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5</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2965844.48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34456446.69</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2965965.72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34455968.79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2965973.08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34456587.66</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12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2965782.19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14:ligatures w14:val="none"/>
              </w:rPr>
              <w:t>34455698.59</w:t>
            </w:r>
          </w:p>
        </w:tc>
      </w:tr>
    </w:tbl>
    <w:p>
      <w:pPr>
        <w:pStyle w:val="5"/>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三、审查意见</w:t>
      </w:r>
    </w:p>
    <w:p>
      <w:pPr>
        <w:pStyle w:val="5"/>
        <w:spacing w:line="560" w:lineRule="exact"/>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1.《方案》收集了区内基础地质及矿区以往矿产勘查成果资料，基本反映了勘查区地质特征、矿体特征、矿石质量、矿石</w:t>
      </w:r>
      <w:r>
        <w:rPr>
          <w:rFonts w:hint="default" w:ascii="Times New Roman" w:hAnsi="Times New Roman" w:eastAsia="仿宋_GB2312" w:cs="Times New Roman"/>
          <w:sz w:val="30"/>
          <w:szCs w:val="30"/>
          <w:lang w:val="en-US" w:eastAsia="zh-CN"/>
        </w:rPr>
        <w:t>选冶</w:t>
      </w:r>
      <w:r>
        <w:rPr>
          <w:rFonts w:hint="default" w:ascii="Times New Roman" w:hAnsi="Times New Roman" w:eastAsia="仿宋_GB2312" w:cs="Times New Roman"/>
          <w:sz w:val="30"/>
          <w:szCs w:val="30"/>
        </w:rPr>
        <w:t>技术性能、矿床开采技术条件等情况，</w:t>
      </w:r>
      <w:r>
        <w:rPr>
          <w:rFonts w:hint="eastAsia" w:ascii="Times New Roman" w:hAnsi="Times New Roman" w:eastAsia="仿宋_GB2312" w:cs="Times New Roman"/>
          <w:sz w:val="30"/>
          <w:szCs w:val="30"/>
          <w:lang w:val="en-US" w:eastAsia="zh-CN"/>
        </w:rPr>
        <w:t>编制依据较充分。</w:t>
      </w:r>
    </w:p>
    <w:p>
      <w:pPr>
        <w:pStyle w:val="5"/>
        <w:adjustRightInd w:val="0"/>
        <w:snapToGrid w:val="0"/>
        <w:spacing w:line="560" w:lineRule="exact"/>
        <w:ind w:firstLine="6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2.探矿工程的布置按照“理论指导，系统部署，循序渐进，重点突破，创新思路，综合评价”的原则，根据本区实际，拟采用地质测量、</w:t>
      </w:r>
      <w:r>
        <w:rPr>
          <w:rFonts w:hint="default" w:ascii="Times New Roman" w:hAnsi="Times New Roman" w:eastAsia="仿宋_GB2312" w:cs="Times New Roman"/>
          <w:sz w:val="30"/>
          <w:szCs w:val="30"/>
          <w:lang w:val="en-US" w:eastAsia="zh-CN"/>
        </w:rPr>
        <w:t>坑探</w:t>
      </w:r>
      <w:r>
        <w:rPr>
          <w:rFonts w:hint="default" w:ascii="Times New Roman" w:hAnsi="Times New Roman" w:eastAsia="仿宋_GB2312" w:cs="Times New Roman"/>
          <w:sz w:val="30"/>
          <w:szCs w:val="30"/>
        </w:rPr>
        <w:t>及坑内钻探控制、采样测试、综合研究等方法</w:t>
      </w:r>
      <w:r>
        <w:rPr>
          <w:rFonts w:hint="default"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rPr>
        <w:t>手段开展</w:t>
      </w:r>
      <w:r>
        <w:rPr>
          <w:rFonts w:hint="default" w:ascii="Times New Roman" w:hAnsi="Times New Roman" w:eastAsia="仿宋_GB2312" w:cs="Times New Roman"/>
          <w:sz w:val="30"/>
          <w:szCs w:val="30"/>
          <w:lang w:val="en-US" w:eastAsia="zh-CN"/>
        </w:rPr>
        <w:t>详查</w:t>
      </w:r>
      <w:r>
        <w:rPr>
          <w:rFonts w:hint="default" w:ascii="Times New Roman" w:hAnsi="Times New Roman" w:eastAsia="仿宋_GB2312" w:cs="Times New Roman"/>
          <w:sz w:val="30"/>
          <w:szCs w:val="30"/>
        </w:rPr>
        <w:t>工作，采用的技术方法和手段合理，具可操作性</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坑探工程调整依据充分且有必要。</w:t>
      </w:r>
    </w:p>
    <w:p>
      <w:pPr>
        <w:pStyle w:val="5"/>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3.《方案》组织管理机构健全，项目成员专业结构较合理，质量安全保障措施得当，绿色勘查保障措施</w:t>
      </w:r>
      <w:r>
        <w:rPr>
          <w:rFonts w:hint="default" w:ascii="Times New Roman" w:hAnsi="Times New Roman" w:eastAsia="仿宋_GB2312" w:cs="Times New Roman"/>
          <w:sz w:val="30"/>
          <w:szCs w:val="30"/>
          <w:lang w:val="en-US" w:eastAsia="zh-CN"/>
        </w:rPr>
        <w:t>基本可行</w:t>
      </w:r>
      <w:r>
        <w:rPr>
          <w:rFonts w:hint="default" w:ascii="Times New Roman" w:hAnsi="Times New Roman" w:eastAsia="仿宋_GB2312" w:cs="Times New Roman"/>
          <w:sz w:val="30"/>
          <w:szCs w:val="30"/>
        </w:rPr>
        <w:t>。</w:t>
      </w:r>
    </w:p>
    <w:p>
      <w:pPr>
        <w:pStyle w:val="5"/>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4.经费预算工作量与设计工作量相符，预算编制及各种费用的取费标准符合中国地质调查局《地质调查项目预算标准》(2010</w:t>
      </w:r>
      <w:r>
        <w:rPr>
          <w:rFonts w:hint="eastAsia" w:ascii="Times New Roman" w:hAnsi="Times New Roman" w:eastAsia="仿宋_GB2312" w:cs="Times New Roman"/>
          <w:sz w:val="30"/>
          <w:szCs w:val="30"/>
          <w:lang w:val="en-US" w:eastAsia="zh-CN"/>
        </w:rPr>
        <w:t>年试用</w:t>
      </w:r>
      <w:r>
        <w:rPr>
          <w:rFonts w:hint="default" w:ascii="Times New Roman" w:hAnsi="Times New Roman" w:eastAsia="仿宋_GB2312" w:cs="Times New Roman"/>
          <w:sz w:val="30"/>
          <w:szCs w:val="30"/>
        </w:rPr>
        <w:t>)及相关规定，预算合理。</w:t>
      </w:r>
    </w:p>
    <w:p>
      <w:pPr>
        <w:pStyle w:val="5"/>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四、存在问题与建议</w:t>
      </w:r>
    </w:p>
    <w:p>
      <w:pPr>
        <w:pStyle w:val="5"/>
        <w:spacing w:line="560" w:lineRule="exact"/>
        <w:ind w:firstLine="6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勘查区岩体深部形态展布特殊，建议先用钻孔稀疏探索，</w:t>
      </w:r>
      <w:r>
        <w:rPr>
          <w:rFonts w:hint="eastAsia" w:ascii="Times New Roman" w:hAnsi="Times New Roman" w:eastAsia="仿宋_GB2312" w:cs="Times New Roman"/>
          <w:sz w:val="30"/>
          <w:szCs w:val="30"/>
          <w:lang w:val="en-US" w:eastAsia="zh-CN"/>
        </w:rPr>
        <w:t>再</w:t>
      </w:r>
      <w:r>
        <w:rPr>
          <w:rFonts w:hint="default" w:ascii="Times New Roman" w:hAnsi="Times New Roman" w:eastAsia="仿宋_GB2312" w:cs="Times New Roman"/>
          <w:sz w:val="30"/>
          <w:szCs w:val="30"/>
        </w:rPr>
        <w:t>优化加密工程，以便控制勘查投资风险</w:t>
      </w:r>
      <w:r>
        <w:rPr>
          <w:rFonts w:hint="eastAsia" w:ascii="Times New Roman" w:hAnsi="Times New Roman" w:eastAsia="仿宋_GB2312" w:cs="Times New Roman"/>
          <w:sz w:val="30"/>
          <w:szCs w:val="30"/>
          <w:lang w:eastAsia="zh-CN"/>
        </w:rPr>
        <w:t>。</w:t>
      </w:r>
    </w:p>
    <w:p>
      <w:pPr>
        <w:pStyle w:val="5"/>
        <w:spacing w:line="560" w:lineRule="exact"/>
        <w:ind w:firstLine="6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2.建议</w:t>
      </w:r>
      <w:r>
        <w:rPr>
          <w:rFonts w:hint="default" w:ascii="Times New Roman" w:hAnsi="Times New Roman" w:eastAsia="仿宋_GB2312" w:cs="Times New Roman"/>
          <w:sz w:val="30"/>
          <w:szCs w:val="30"/>
        </w:rPr>
        <w:t>强化资料整理和综合研究，同时根据矿体特征，及时调整、优化钻孔设计，避免按方案机械、盲目施工。</w:t>
      </w:r>
    </w:p>
    <w:p>
      <w:pPr>
        <w:pStyle w:val="16"/>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全面落实绿色勘查的各项保障措施，尽量降低</w:t>
      </w:r>
      <w:r>
        <w:rPr>
          <w:rFonts w:hint="default" w:ascii="Times New Roman" w:hAnsi="Times New Roman" w:eastAsia="仿宋_GB2312" w:cs="Times New Roman"/>
          <w:spacing w:val="4"/>
          <w:sz w:val="30"/>
          <w:szCs w:val="30"/>
        </w:rPr>
        <w:t>勘查工作对生态环境的影响和破坏。</w:t>
      </w:r>
    </w:p>
    <w:p>
      <w:pPr>
        <w:pStyle w:val="5"/>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五、结论</w:t>
      </w:r>
    </w:p>
    <w:p>
      <w:pPr>
        <w:pStyle w:val="5"/>
        <w:adjustRightInd w:val="0"/>
        <w:snapToGrid w:val="0"/>
        <w:spacing w:line="560" w:lineRule="exact"/>
        <w:ind w:firstLine="600"/>
        <w:jc w:val="left"/>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编制前</w:t>
      </w:r>
      <w:r>
        <w:rPr>
          <w:rFonts w:hint="default" w:ascii="Times New Roman" w:hAnsi="Times New Roman" w:eastAsia="仿宋_GB2312" w:cs="Times New Roman"/>
          <w:sz w:val="30"/>
          <w:szCs w:val="30"/>
        </w:rPr>
        <w:t>收集利用了</w:t>
      </w:r>
      <w:r>
        <w:rPr>
          <w:rFonts w:hint="default" w:ascii="Times New Roman" w:hAnsi="Times New Roman" w:eastAsia="仿宋_GB2312" w:cs="Times New Roman"/>
          <w:sz w:val="30"/>
          <w:szCs w:val="30"/>
          <w:lang w:val="en-US" w:eastAsia="zh-CN"/>
        </w:rPr>
        <w:t>区内基础地质及邻区勘查成果</w:t>
      </w:r>
      <w:r>
        <w:rPr>
          <w:rFonts w:hint="default" w:ascii="Times New Roman" w:hAnsi="Times New Roman" w:eastAsia="仿宋_GB2312" w:cs="Times New Roman"/>
          <w:sz w:val="30"/>
          <w:szCs w:val="30"/>
        </w:rPr>
        <w:t>资料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编制</w:t>
      </w:r>
      <w:r>
        <w:rPr>
          <w:rFonts w:hint="default" w:ascii="Times New Roman" w:hAnsi="Times New Roman" w:eastAsia="仿宋_GB2312" w:cs="Times New Roman"/>
          <w:sz w:val="30"/>
          <w:szCs w:val="30"/>
        </w:rPr>
        <w:t>依据较充分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勘查技术方法、勘查手段、工作部署总体合理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技术要求具体可行，</w:t>
      </w:r>
      <w:r>
        <w:rPr>
          <w:rFonts w:hint="default" w:ascii="Times New Roman" w:hAnsi="Times New Roman" w:eastAsia="仿宋_GB2312" w:cs="Times New Roman"/>
          <w:sz w:val="30"/>
          <w:szCs w:val="30"/>
        </w:rPr>
        <w:t>主要实物工作量可满足勘探工作需要</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经费</w:t>
      </w:r>
      <w:r>
        <w:rPr>
          <w:rFonts w:hint="default" w:ascii="Times New Roman" w:hAnsi="Times New Roman" w:eastAsia="仿宋_GB2312" w:cs="Times New Roman"/>
          <w:sz w:val="30"/>
          <w:szCs w:val="30"/>
          <w:lang w:val="en-US" w:eastAsia="zh-CN"/>
        </w:rPr>
        <w:t>概</w:t>
      </w:r>
      <w:r>
        <w:rPr>
          <w:rFonts w:hint="default" w:ascii="Times New Roman" w:hAnsi="Times New Roman" w:eastAsia="仿宋_GB2312" w:cs="Times New Roman"/>
          <w:sz w:val="30"/>
          <w:szCs w:val="30"/>
        </w:rPr>
        <w:t>算有据</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同意通过审查。</w:t>
      </w:r>
    </w:p>
    <w:p>
      <w:pPr>
        <w:pStyle w:val="5"/>
        <w:spacing w:line="560" w:lineRule="exact"/>
        <w:ind w:firstLine="600"/>
        <w:rPr>
          <w:rFonts w:hint="default" w:ascii="Times New Roman" w:hAnsi="Times New Roman" w:eastAsia="仿宋" w:cs="Times New Roman"/>
          <w:sz w:val="30"/>
          <w:szCs w:val="30"/>
        </w:rPr>
      </w:pPr>
    </w:p>
    <w:p>
      <w:pPr>
        <w:pStyle w:val="5"/>
        <w:spacing w:line="560" w:lineRule="exact"/>
        <w:ind w:firstLine="600"/>
        <w:rPr>
          <w:rFonts w:hint="default" w:ascii="Times New Roman" w:hAnsi="Times New Roman" w:eastAsia="仿宋" w:cs="Times New Roman"/>
          <w:sz w:val="30"/>
          <w:szCs w:val="30"/>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附件：</w:t>
      </w:r>
      <w:r>
        <w:rPr>
          <w:rFonts w:hint="default" w:ascii="Times New Roman" w:hAnsi="Times New Roman" w:eastAsia="仿宋_GB2312" w:cs="Times New Roman"/>
          <w:sz w:val="30"/>
          <w:szCs w:val="30"/>
        </w:rPr>
        <w:t>《四川省盐边县冷水箐镍矿深部详查实施方案》评审专家</w:t>
      </w:r>
    </w:p>
    <w:p>
      <w:pPr>
        <w:pStyle w:val="5"/>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组签名表</w:t>
      </w:r>
    </w:p>
    <w:p>
      <w:pPr>
        <w:pStyle w:val="5"/>
        <w:spacing w:line="560" w:lineRule="exact"/>
        <w:ind w:firstLine="600"/>
        <w:rPr>
          <w:rFonts w:hint="default" w:ascii="Times New Roman" w:hAnsi="Times New Roman" w:eastAsia="仿宋" w:cs="Times New Roman"/>
          <w:sz w:val="30"/>
          <w:szCs w:val="30"/>
        </w:rPr>
      </w:pPr>
    </w:p>
    <w:p>
      <w:pPr>
        <w:pStyle w:val="5"/>
        <w:spacing w:line="560" w:lineRule="exact"/>
        <w:ind w:firstLine="4200" w:firstLineChars="1400"/>
        <w:rPr>
          <w:rFonts w:hint="default" w:ascii="Times New Roman" w:hAnsi="Times New Roman" w:eastAsia="仿宋" w:cs="Times New Roman"/>
          <w:sz w:val="30"/>
          <w:szCs w:val="30"/>
        </w:rPr>
      </w:pPr>
    </w:p>
    <w:p>
      <w:pPr>
        <w:pStyle w:val="5"/>
        <w:spacing w:line="560" w:lineRule="exact"/>
        <w:ind w:firstLine="4200" w:firstLineChars="1400"/>
        <w:rPr>
          <w:rFonts w:hint="default" w:ascii="Times New Roman" w:hAnsi="Times New Roman" w:eastAsia="仿宋" w:cs="Times New Roman"/>
          <w:sz w:val="30"/>
          <w:szCs w:val="30"/>
        </w:rPr>
      </w:pPr>
    </w:p>
    <w:p>
      <w:pPr>
        <w:pStyle w:val="5"/>
        <w:spacing w:line="560" w:lineRule="exact"/>
        <w:ind w:firstLine="4200" w:firstLineChars="1400"/>
        <w:rPr>
          <w:rFonts w:hint="default" w:ascii="Times New Roman" w:hAnsi="Times New Roman" w:eastAsia="仿宋" w:cs="Times New Roman"/>
          <w:sz w:val="30"/>
          <w:szCs w:val="30"/>
        </w:rPr>
      </w:pPr>
    </w:p>
    <w:p>
      <w:pPr>
        <w:pStyle w:val="5"/>
        <w:spacing w:line="560" w:lineRule="exact"/>
        <w:ind w:firstLine="4200" w:firstLineChars="1400"/>
        <w:rPr>
          <w:rFonts w:hint="default" w:ascii="Times New Roman" w:hAnsi="Times New Roman" w:eastAsia="仿宋" w:cs="Times New Roman"/>
          <w:sz w:val="30"/>
          <w:szCs w:val="30"/>
        </w:rPr>
      </w:pPr>
    </w:p>
    <w:p>
      <w:pPr>
        <w:pStyle w:val="5"/>
        <w:spacing w:line="560" w:lineRule="exact"/>
        <w:ind w:firstLine="4200" w:firstLineChars="1400"/>
        <w:rPr>
          <w:rFonts w:hint="default" w:ascii="Times New Roman" w:hAnsi="Times New Roman" w:eastAsia="仿宋" w:cs="Times New Roman"/>
          <w:sz w:val="30"/>
          <w:szCs w:val="30"/>
        </w:rPr>
      </w:pPr>
      <w:bookmarkStart w:id="2" w:name="_GoBack"/>
      <w:bookmarkEnd w:id="2"/>
    </w:p>
    <w:p>
      <w:pPr>
        <w:pStyle w:val="5"/>
        <w:spacing w:line="560" w:lineRule="exact"/>
        <w:ind w:firstLine="4200" w:firstLineChars="1400"/>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专家组长：</w:t>
      </w:r>
    </w:p>
    <w:p>
      <w:pPr>
        <w:pStyle w:val="5"/>
        <w:spacing w:line="560" w:lineRule="exact"/>
        <w:ind w:firstLine="4200" w:firstLineChars="1400"/>
        <w:rPr>
          <w:rFonts w:hint="default" w:ascii="Times New Roman" w:hAnsi="Times New Roman" w:eastAsia="仿宋" w:cs="Times New Roman"/>
          <w:sz w:val="30"/>
          <w:szCs w:val="30"/>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日</w:t>
      </w:r>
    </w:p>
    <w:p>
      <w:pPr>
        <w:pStyle w:val="5"/>
        <w:spacing w:line="560" w:lineRule="exact"/>
        <w:ind w:firstLine="0" w:firstLineChars="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附件：</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《四川省盐边县冷水箐镍矿深部详查实施方案》</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评审专家组签名表</w:t>
      </w:r>
    </w:p>
    <w:p>
      <w:pPr>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1995805" cy="8879205"/>
            <wp:effectExtent l="0" t="0" r="5715" b="635"/>
            <wp:docPr id="1" name="图片 1" descr="24.1.18四川省盐边县冷水箐镍矿深部延伸勘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1.18四川省盐边县冷水箐镍矿深部延伸勘探_00"/>
                    <pic:cNvPicPr>
                      <a:picLocks noChangeAspect="1"/>
                    </pic:cNvPicPr>
                  </pic:nvPicPr>
                  <pic:blipFill>
                    <a:blip r:embed="rId7"/>
                    <a:srcRect l="25811" t="7419" r="46757" b="6346"/>
                    <a:stretch>
                      <a:fillRect/>
                    </a:stretch>
                  </pic:blipFill>
                  <pic:spPr>
                    <a:xfrm rot="5400000">
                      <a:off x="0" y="0"/>
                      <a:ext cx="1995805" cy="887920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035689"/>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MjU1NDlhYmU2MWE5OTAwZmRiMWFmNDRkZjgyYWQifQ=="/>
  </w:docVars>
  <w:rsids>
    <w:rsidRoot w:val="00672E09"/>
    <w:rsid w:val="000B230F"/>
    <w:rsid w:val="000D653F"/>
    <w:rsid w:val="00143EFB"/>
    <w:rsid w:val="0027087F"/>
    <w:rsid w:val="00672E09"/>
    <w:rsid w:val="008B75CE"/>
    <w:rsid w:val="009F39D7"/>
    <w:rsid w:val="00B74C8B"/>
    <w:rsid w:val="00BD3947"/>
    <w:rsid w:val="00D05460"/>
    <w:rsid w:val="00FA3DE9"/>
    <w:rsid w:val="011949CD"/>
    <w:rsid w:val="0A2F5262"/>
    <w:rsid w:val="0AFF4C34"/>
    <w:rsid w:val="11C91B51"/>
    <w:rsid w:val="2FE06533"/>
    <w:rsid w:val="2FFC7735"/>
    <w:rsid w:val="390F287A"/>
    <w:rsid w:val="4698770F"/>
    <w:rsid w:val="46F1008B"/>
    <w:rsid w:val="513729B4"/>
    <w:rsid w:val="57111B32"/>
    <w:rsid w:val="5CB771FA"/>
    <w:rsid w:val="5CF52D6E"/>
    <w:rsid w:val="60E13761"/>
    <w:rsid w:val="67E90318"/>
    <w:rsid w:val="6BA52DFB"/>
    <w:rsid w:val="6CD75FEC"/>
    <w:rsid w:val="73155AC0"/>
    <w:rsid w:val="75A645F9"/>
    <w:rsid w:val="75DE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spacing w:after="120" w:line="360" w:lineRule="auto"/>
      <w:ind w:firstLine="425"/>
    </w:pPr>
    <w:rPr>
      <w:rFonts w:ascii="Times New Roman" w:hAnsi="Times New Roman" w:eastAsia="宋体" w:cs="Times New Roman"/>
      <w:sz w:val="24"/>
      <w:szCs w:val="20"/>
    </w:rPr>
  </w:style>
  <w:style w:type="paragraph" w:styleId="3">
    <w:name w:val="Body Text Indent"/>
    <w:basedOn w:val="1"/>
    <w:link w:val="10"/>
    <w:autoRedefine/>
    <w:semiHidden/>
    <w:unhideWhenUsed/>
    <w:qFormat/>
    <w:uiPriority w:val="99"/>
    <w:pPr>
      <w:spacing w:after="120"/>
      <w:ind w:left="420" w:leftChars="200"/>
    </w:pPr>
  </w:style>
  <w:style w:type="paragraph" w:styleId="4">
    <w:name w:val="footer"/>
    <w:basedOn w:val="1"/>
    <w:link w:val="9"/>
    <w:autoRedefine/>
    <w:qFormat/>
    <w:uiPriority w:val="99"/>
    <w:pPr>
      <w:tabs>
        <w:tab w:val="center" w:pos="4153"/>
        <w:tab w:val="right" w:pos="8306"/>
      </w:tabs>
      <w:snapToGrid w:val="0"/>
      <w:jc w:val="center"/>
    </w:pPr>
    <w:rPr>
      <w:sz w:val="18"/>
      <w:szCs w:val="18"/>
    </w:rPr>
  </w:style>
  <w:style w:type="paragraph" w:styleId="5">
    <w:name w:val="Body Text First Indent 2"/>
    <w:basedOn w:val="3"/>
    <w:link w:val="11"/>
    <w:autoRedefine/>
    <w:qFormat/>
    <w:uiPriority w:val="0"/>
    <w:pPr>
      <w:spacing w:after="0"/>
      <w:ind w:left="0" w:leftChars="0" w:firstLine="420" w:firstLineChars="200"/>
    </w:pPr>
    <w:rPr>
      <w:rFonts w:ascii="仿宋" w:hAnsi="宋体"/>
      <w:sz w:val="2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autoRedefine/>
    <w:qFormat/>
    <w:uiPriority w:val="99"/>
    <w:rPr>
      <w:sz w:val="18"/>
      <w:szCs w:val="18"/>
      <w14:ligatures w14:val="none"/>
    </w:rPr>
  </w:style>
  <w:style w:type="character" w:customStyle="1" w:styleId="10">
    <w:name w:val="正文文本缩进 字符"/>
    <w:basedOn w:val="8"/>
    <w:link w:val="3"/>
    <w:autoRedefine/>
    <w:semiHidden/>
    <w:qFormat/>
    <w:uiPriority w:val="99"/>
    <w:rPr>
      <w:szCs w:val="24"/>
      <w14:ligatures w14:val="none"/>
    </w:rPr>
  </w:style>
  <w:style w:type="character" w:customStyle="1" w:styleId="11">
    <w:name w:val="正文文本首行缩进 2 字符"/>
    <w:basedOn w:val="10"/>
    <w:link w:val="5"/>
    <w:autoRedefine/>
    <w:qFormat/>
    <w:uiPriority w:val="0"/>
    <w:rPr>
      <w:rFonts w:ascii="仿宋" w:hAnsi="宋体"/>
      <w:sz w:val="28"/>
      <w:szCs w:val="24"/>
      <w14:ligatures w14:val="none"/>
    </w:rPr>
  </w:style>
  <w:style w:type="paragraph" w:customStyle="1" w:styleId="12">
    <w:name w:val="Normal_9"/>
    <w:autoRedefine/>
    <w:qFormat/>
    <w:uiPriority w:val="0"/>
    <w:pPr>
      <w:spacing w:before="120" w:after="240"/>
      <w:jc w:val="both"/>
    </w:pPr>
    <w:rPr>
      <w:rFonts w:ascii="Calibri" w:hAnsi="Calibri" w:eastAsia="Calibri" w:cs="Times New Roman"/>
      <w:kern w:val="0"/>
      <w:sz w:val="22"/>
      <w:szCs w:val="22"/>
      <w:lang w:val="ru-RU" w:eastAsia="en-US" w:bidi="ar-SA"/>
      <w14:ligatures w14:val="none"/>
    </w:rPr>
  </w:style>
  <w:style w:type="character" w:customStyle="1" w:styleId="13">
    <w:name w:val="正文文本 字符"/>
    <w:basedOn w:val="8"/>
    <w:link w:val="2"/>
    <w:autoRedefine/>
    <w:semiHidden/>
    <w:qFormat/>
    <w:uiPriority w:val="99"/>
    <w:rPr>
      <w:rFonts w:ascii="Times New Roman" w:hAnsi="Times New Roman" w:eastAsia="宋体" w:cs="Times New Roman"/>
      <w:sz w:val="24"/>
      <w:szCs w:val="20"/>
      <w14:ligatures w14:val="none"/>
    </w:rPr>
  </w:style>
  <w:style w:type="character" w:customStyle="1" w:styleId="14">
    <w:name w:val="font11"/>
    <w:basedOn w:val="8"/>
    <w:autoRedefine/>
    <w:qFormat/>
    <w:uiPriority w:val="0"/>
    <w:rPr>
      <w:rFonts w:hint="eastAsia" w:ascii="仿宋_GB2312" w:eastAsia="仿宋_GB2312" w:cs="仿宋_GB2312"/>
      <w:color w:val="000000"/>
      <w:sz w:val="21"/>
      <w:szCs w:val="21"/>
      <w:u w:val="none"/>
    </w:rPr>
  </w:style>
  <w:style w:type="character" w:customStyle="1" w:styleId="15">
    <w:name w:val="font21"/>
    <w:basedOn w:val="8"/>
    <w:autoRedefine/>
    <w:qFormat/>
    <w:uiPriority w:val="0"/>
    <w:rPr>
      <w:rFonts w:hint="eastAsia" w:ascii="仿宋_GB2312" w:eastAsia="仿宋_GB2312" w:cs="仿宋_GB2312"/>
      <w:color w:val="000000"/>
      <w:sz w:val="21"/>
      <w:szCs w:val="21"/>
      <w:u w:val="none"/>
    </w:rPr>
  </w:style>
  <w:style w:type="paragraph" w:styleId="1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font3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422</Words>
  <Characters>2407</Characters>
  <Lines>20</Lines>
  <Paragraphs>5</Paragraphs>
  <TotalTime>38</TotalTime>
  <ScaleCrop>false</ScaleCrop>
  <LinksUpToDate>false</LinksUpToDate>
  <CharactersWithSpaces>2824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2024-01-25T05:37:00Z</dcterms:created>
  <dc:creator>博 刘</dc:creator>
  <cp:lastModifiedBy>飞鸟</cp:lastModifiedBy>
  <dcterms:modified xsi:type="dcterms:W3CDTF">2024-03-15T03:25:21Z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E54A53D76166424BB2D9EC128AD64495_12</vt:lpwstr>
  </property>
</Properties>
</file>