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before="156" w:beforeLines="50" w:after="156" w:afterLines="50"/>
        <w:jc w:val="both"/>
        <w:rPr>
          <w:rFonts w:hint="default" w:ascii="Times New Roman" w:hAnsi="Times New Roman" w:eastAsia="黑体" w:cs="Times New Roman"/>
          <w:b/>
          <w:bCs/>
          <w:color w:val="000000"/>
          <w:sz w:val="44"/>
          <w:szCs w:val="44"/>
        </w:rPr>
      </w:pPr>
    </w:p>
    <w:p>
      <w:pPr>
        <w:overflowPunct w:val="0"/>
        <w:snapToGrid w:val="0"/>
        <w:spacing w:before="156" w:beforeLines="50" w:after="156" w:afterLines="50"/>
        <w:jc w:val="both"/>
        <w:rPr>
          <w:rFonts w:hint="default" w:ascii="Times New Roman" w:hAnsi="Times New Roman" w:eastAsia="黑体" w:cs="Times New Roman"/>
          <w:b/>
          <w:bCs/>
          <w:color w:val="000000"/>
          <w:sz w:val="44"/>
          <w:szCs w:val="44"/>
        </w:rPr>
      </w:pPr>
    </w:p>
    <w:p>
      <w:pPr>
        <w:overflowPunct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《四川省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安县王爷庙磷矿勘探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实施方案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》</w:t>
      </w:r>
    </w:p>
    <w:p>
      <w:pPr>
        <w:overflowPunct w:val="0"/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意见书</w:t>
      </w:r>
    </w:p>
    <w:p>
      <w:pPr>
        <w:overflowPunct w:val="0"/>
        <w:snapToGrid w:val="0"/>
        <w:spacing w:line="480" w:lineRule="auto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sz w:val="36"/>
          <w:szCs w:val="36"/>
        </w:rPr>
      </w:pPr>
    </w:p>
    <w:p>
      <w:pPr>
        <w:overflowPunct w:val="0"/>
        <w:snapToGrid w:val="0"/>
        <w:spacing w:line="48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overflowPunct w:val="0"/>
        <w:snapToGrid w:val="0"/>
        <w:spacing w:line="48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tbl>
      <w:tblPr>
        <w:tblStyle w:val="7"/>
        <w:tblpPr w:leftFromText="180" w:rightFromText="180" w:vertAnchor="page" w:horzAnchor="page" w:tblpX="1864" w:tblpY="1716"/>
        <w:tblW w:w="8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26"/>
        <w:gridCol w:w="1188"/>
        <w:gridCol w:w="1200"/>
        <w:gridCol w:w="1262"/>
        <w:gridCol w:w="2162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pacing w:val="106"/>
                <w:kern w:val="0"/>
                <w:sz w:val="32"/>
                <w:szCs w:val="32"/>
                <w:fitText w:val="1920" w:id="1739224019"/>
              </w:rPr>
              <w:t>申请单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2"/>
                <w:kern w:val="0"/>
                <w:sz w:val="32"/>
                <w:szCs w:val="32"/>
                <w:fitText w:val="1920" w:id="1739224019"/>
              </w:rPr>
              <w:t>位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成都弘丰矿业有限公司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pacing w:val="106"/>
                <w:kern w:val="0"/>
                <w:sz w:val="32"/>
                <w:szCs w:val="32"/>
                <w:fitText w:val="1920" w:id="1205022953"/>
              </w:rPr>
              <w:t>编制单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2"/>
                <w:kern w:val="0"/>
                <w:sz w:val="32"/>
                <w:szCs w:val="32"/>
                <w:fitText w:val="1920" w:id="1205022953"/>
              </w:rPr>
              <w:t>位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四川省化工地质勘查院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方案主编人员：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z w:val="32"/>
                <w:szCs w:val="32"/>
                <w:lang w:val="en-US" w:eastAsia="zh-CN"/>
              </w:rPr>
              <w:t>旷志国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z w:val="32"/>
                <w:szCs w:val="32"/>
                <w:lang w:val="en-US" w:eastAsia="zh-CN"/>
              </w:rPr>
              <w:t>马佳伟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胡  勇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  <w:t>杜文鑫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  <w:t>孙宗钧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  <w:t>杨  群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pacing w:val="40"/>
                <w:kern w:val="0"/>
                <w:sz w:val="32"/>
                <w:szCs w:val="32"/>
                <w:fitText w:val="1920" w:id="1602439252"/>
              </w:rPr>
              <w:t>评审专家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0"/>
                <w:kern w:val="0"/>
                <w:sz w:val="32"/>
                <w:szCs w:val="32"/>
                <w:fitText w:val="1920" w:id="1602439252"/>
              </w:rPr>
              <w:t>组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组长：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冉孟云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成员：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郑宜昌  胡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3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pacing w:val="106"/>
                <w:kern w:val="0"/>
                <w:sz w:val="32"/>
                <w:szCs w:val="32"/>
                <w:fitText w:val="1920" w:id="1737381519"/>
              </w:rPr>
              <w:t>评审方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2"/>
                <w:kern w:val="0"/>
                <w:sz w:val="32"/>
                <w:szCs w:val="32"/>
                <w:fitText w:val="1920" w:id="1737381519"/>
              </w:rPr>
              <w:t>式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会  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pacing w:val="106"/>
                <w:kern w:val="0"/>
                <w:sz w:val="32"/>
                <w:szCs w:val="32"/>
                <w:fitText w:val="1920" w:id="402132574"/>
              </w:rPr>
              <w:t>评审时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2"/>
                <w:kern w:val="0"/>
                <w:sz w:val="32"/>
                <w:szCs w:val="32"/>
                <w:fitText w:val="1920" w:id="402132574"/>
              </w:rPr>
              <w:t>间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  <w:szCs w:val="32"/>
              </w:rPr>
              <w:t>评审会议地点：</w:t>
            </w:r>
          </w:p>
        </w:tc>
        <w:tc>
          <w:tcPr>
            <w:tcW w:w="60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</w:rPr>
              <w:t>四川省成都市</w:t>
            </w:r>
          </w:p>
        </w:tc>
      </w:tr>
    </w:tbl>
    <w:p>
      <w:pPr>
        <w:spacing w:line="360" w:lineRule="auto"/>
        <w:ind w:firstLine="576" w:firstLineChars="192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131"/>
        <w:gridCol w:w="2042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四川省安县王爷庙磷矿勘探实施方案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成都弘丰矿业有限公司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勘查单位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四川省化工地质勘查院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项目所在省市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绵阳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编制目的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提高勘查程度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勘查矿种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磷矿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勘查面积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lang w:val="en-US" w:eastAsia="zh-CN"/>
              </w:rPr>
              <w:t>km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勘查阶段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预算经费（万元）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695.74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勘查范围</w:t>
            </w:r>
          </w:p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拐点坐标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2560"/>
              <w:gridCol w:w="23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5000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拐点编号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104°09′49.000″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31°38′00.000″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104°10′12.000″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31°38′00.000″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104°10′12.000″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31°37′15.000″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104°09′19.000″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31°37′15.000″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104°09′19.000″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31°37′30.000″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30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104°09′49.000″</w:t>
                  </w:r>
                </w:p>
              </w:tc>
              <w:tc>
                <w:tcPr>
                  <w:tcW w:w="178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Style w:val="15"/>
                      <w:rFonts w:hint="default" w:ascii="Times New Roman" w:hAnsi="Times New Roman" w:cs="Times New Roman"/>
                      <w:lang w:val="en-US" w:eastAsia="zh-CN" w:bidi="ar"/>
                    </w:rPr>
                    <w:t>31°37′30.000″</w:t>
                  </w:r>
                </w:p>
              </w:tc>
            </w:tr>
          </w:tbl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目的任务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在以往工作基础上，以磷矿为主矿种，通过探槽、钻探、坑探等工程手段，对矿区进行系统控制，勘查程度达到勘探阶段要求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提交勘探报告，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为矿山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探转采、开发利用方案编制、可行性研究、矿山建设初步设计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地质依据。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技术方法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系统整理以往地质资料，通过地形地质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、槽探、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钻探、采样测试等手段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，对矿床进行综合评价，估算推断、控制、探明资源量，为可行性研究及矿山建设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初步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设计提供地质资料。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主要实物工作量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地形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地质测量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，1: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000地质剖面测量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1.25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km，1: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000勘查线测量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3.95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km，1: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000水文、工程、环境地质测量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、槽探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条，钻探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2460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m/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孔，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分析样1000件，组合分析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样4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0件，水质分析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5件，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岩矿鉴定样4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物理力学样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12组，小体重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样6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0件，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实验室连续试验样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2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预期成果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提交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《四川省安县王爷庙磷矿勘探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》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</w:tr>
    </w:tbl>
    <w:p>
      <w:pPr>
        <w:spacing w:before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注：此表由申请人填写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因提高勘查程度，成都弘丰矿业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有限公司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四川省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化工地质勘查院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编制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《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四川省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lang w:val="en-US" w:eastAsia="zh-CN"/>
        </w:rPr>
        <w:t>安县王爷庙磷矿勘探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lang w:eastAsia="zh-CN"/>
        </w:rPr>
        <w:t>实施方案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以下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简称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》），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四川省矿产资源储量评审中心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组织专家对《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》进行了审查，编制单位按照专家意见对《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》进行了修改完善，经专家组复核，形成评审意见如下。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一、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地理位置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92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位于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绵阳市安州区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城区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285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°方向、直距约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0"/>
          <w:szCs w:val="30"/>
        </w:rPr>
        <w:t>km的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高川乡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勘查区内有619乡道至高川乡，高川乡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安州城区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运距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约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km，交通较方便。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92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四川省安县王爷庙磷矿探矿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于2013年4月由成都弘丰矿业有限公司以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申请在先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的方式取得，经多次延续、变更，现勘查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许可证号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T5100002013046010047530，探矿权人为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成都弘丰矿业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有限公司，勘查项目名称为</w:t>
      </w:r>
      <w:bookmarkStart w:id="0" w:name="OLE_LINK20"/>
      <w:bookmarkStart w:id="1" w:name="OLE_LINK21"/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四川省安县王爷庙磷矿</w:t>
      </w:r>
      <w:bookmarkEnd w:id="0"/>
      <w:bookmarkEnd w:id="1"/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详查，有效期自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2021年4月15日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至202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日。探矿权平面范围由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个拐点圈定（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拐点坐标见下表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面积为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2056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261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东经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104°09′49.000″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31°38′00.000″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104°10′12.000″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31°38′00.000″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104°10′12.000″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31°37′15.000″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104°09′19.000″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31°37′15.000″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104°09′19.000″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31°37′30.000″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104°09′49.000″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31°37′30.000″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是在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析研究以往勘查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资料的基础上编制的，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资料收集较齐全，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依据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山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地形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，岩层出露较好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岩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多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  <w:t>急倾斜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采用钻探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采样测试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地质测量、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水工环地质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水文地质试验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手段进行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勘查。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勘查手段选择合理，符合实际，针对性较强。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为单斜，次级褶曲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不发育，但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断层较发育，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多急倾斜，构造复杂程度为中等；磷矿层走向长度较短，但连续性较好，厚度稳定，属中型规模，矿床勘查类型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确定为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Ⅱ类型。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结合以往勘查实际，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采用400m（走向）×20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0m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倾向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网度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求控制资源量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采用200m（走向）×10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0m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倾向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网度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探明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资源量，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稀疏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工程求推断资源量。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网度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确定较合理。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本次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主要工作量为槽探400m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/7条，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钻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2460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m/8孔（全为斜孔）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水文地质试验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2孔,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各类测试样品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1241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的主要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工作量基本能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满足勘探需求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对各项勘查工作的技术要求较明确，人员组织和技术措施，主要设备的配置可保证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预期任务的完成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技术质量、职业健康安全、绿色勘查及生态环境保护措施较完善、合理。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.《方案》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算依据中国地质调查局《地质调查项目预算标准》（2021年）编制。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算工作量与设计工作量相符，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算符合实际。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.《方案》组织管理机构健全，项目成员专业结构较合理，质量安全保障措施得当，绿色勘查保障措施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基本可行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、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存在的主要问题及建议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.本次设计钻孔均为斜孔，施工难度大，建议钻孔施工过程中做好日常测斜工作，发现问题及时采取有效纠正措施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，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并建议编制钻探施工专项设计。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勘查实施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过程中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加强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“三边”工作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综合分析研究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所取得的资料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高度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重视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矿层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倾角的变化，及时调整修改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勘探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编制前搜集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区内基础地质及以往矿产勘查成果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资料，开展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了踏勘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调查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依据较充分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勘查技术方法、勘查手段、工作部署总体合理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技术要求具体可行，拟投入的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主要实物工作量可满足勘探工作需要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经费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算有据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同意通过审查。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904" w:right="0" w:hanging="904" w:hangingChars="300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附件：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《四川省安县王爷庙磷矿勘探实施方案》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专家组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签名表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1200" w:firstLineChars="4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10"/>
          <w:szCs w:val="1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76" w:firstLineChars="192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《四川省安县王爷庙磷矿勘探实施方案》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专家组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签名表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2050415" cy="8877300"/>
            <wp:effectExtent l="0" t="0" r="7620" b="6985"/>
            <wp:docPr id="1" name="图片 1" descr="24.1.19四川省安县王爷庙磷矿勘探实施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.1.19四川省安县王爷庙磷矿勘探实施方案_00"/>
                    <pic:cNvPicPr>
                      <a:picLocks noChangeAspect="1"/>
                    </pic:cNvPicPr>
                  </pic:nvPicPr>
                  <pic:blipFill>
                    <a:blip r:embed="rId7"/>
                    <a:srcRect l="45545" t="7335" r="26511" b="719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041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76" w:firstLineChars="192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U1NDlhYmU2MWE5OTAwZmRiMWFmNDRkZjgyYWQifQ=="/>
  </w:docVars>
  <w:rsids>
    <w:rsidRoot w:val="00241889"/>
    <w:rsid w:val="00000F73"/>
    <w:rsid w:val="00020ABF"/>
    <w:rsid w:val="000227B6"/>
    <w:rsid w:val="00024B1F"/>
    <w:rsid w:val="000439D3"/>
    <w:rsid w:val="00070DC1"/>
    <w:rsid w:val="00083FCB"/>
    <w:rsid w:val="00085AE1"/>
    <w:rsid w:val="000A2BDC"/>
    <w:rsid w:val="000C660B"/>
    <w:rsid w:val="000D67B6"/>
    <w:rsid w:val="000E3138"/>
    <w:rsid w:val="000E4CAE"/>
    <w:rsid w:val="000F2323"/>
    <w:rsid w:val="0010053F"/>
    <w:rsid w:val="00102876"/>
    <w:rsid w:val="0011176F"/>
    <w:rsid w:val="00122D45"/>
    <w:rsid w:val="001251B0"/>
    <w:rsid w:val="00130BA7"/>
    <w:rsid w:val="0014272D"/>
    <w:rsid w:val="00164A1B"/>
    <w:rsid w:val="00182F3B"/>
    <w:rsid w:val="00186C92"/>
    <w:rsid w:val="00192801"/>
    <w:rsid w:val="001A6097"/>
    <w:rsid w:val="001A6B9D"/>
    <w:rsid w:val="001D1B79"/>
    <w:rsid w:val="001D5345"/>
    <w:rsid w:val="001E1398"/>
    <w:rsid w:val="00203440"/>
    <w:rsid w:val="00206890"/>
    <w:rsid w:val="002075EA"/>
    <w:rsid w:val="0021002E"/>
    <w:rsid w:val="002139D4"/>
    <w:rsid w:val="00226F37"/>
    <w:rsid w:val="00241889"/>
    <w:rsid w:val="002861F8"/>
    <w:rsid w:val="002A272C"/>
    <w:rsid w:val="002E4ABE"/>
    <w:rsid w:val="002F73C0"/>
    <w:rsid w:val="002F7B20"/>
    <w:rsid w:val="003027E5"/>
    <w:rsid w:val="00302B90"/>
    <w:rsid w:val="00310BD8"/>
    <w:rsid w:val="00324D98"/>
    <w:rsid w:val="003262CF"/>
    <w:rsid w:val="00356F6B"/>
    <w:rsid w:val="003829F1"/>
    <w:rsid w:val="00397D51"/>
    <w:rsid w:val="003E12E0"/>
    <w:rsid w:val="004243A5"/>
    <w:rsid w:val="00442E2C"/>
    <w:rsid w:val="0045350E"/>
    <w:rsid w:val="00466228"/>
    <w:rsid w:val="00470D15"/>
    <w:rsid w:val="004827B8"/>
    <w:rsid w:val="004874DC"/>
    <w:rsid w:val="00487D0F"/>
    <w:rsid w:val="00495023"/>
    <w:rsid w:val="004B58AC"/>
    <w:rsid w:val="004C3B59"/>
    <w:rsid w:val="004D33A1"/>
    <w:rsid w:val="00505508"/>
    <w:rsid w:val="00560324"/>
    <w:rsid w:val="00575618"/>
    <w:rsid w:val="005F33AD"/>
    <w:rsid w:val="005F47BA"/>
    <w:rsid w:val="005F73D9"/>
    <w:rsid w:val="00606FD0"/>
    <w:rsid w:val="00630F98"/>
    <w:rsid w:val="006407E3"/>
    <w:rsid w:val="00646EB0"/>
    <w:rsid w:val="00683967"/>
    <w:rsid w:val="006D25FC"/>
    <w:rsid w:val="006E3587"/>
    <w:rsid w:val="00700AA5"/>
    <w:rsid w:val="00724ECF"/>
    <w:rsid w:val="0075291C"/>
    <w:rsid w:val="007573FF"/>
    <w:rsid w:val="0078097B"/>
    <w:rsid w:val="00783DB6"/>
    <w:rsid w:val="00797159"/>
    <w:rsid w:val="00797FF2"/>
    <w:rsid w:val="007A38BA"/>
    <w:rsid w:val="007D7C49"/>
    <w:rsid w:val="007E3816"/>
    <w:rsid w:val="007F6269"/>
    <w:rsid w:val="00803C08"/>
    <w:rsid w:val="00807729"/>
    <w:rsid w:val="00827AD8"/>
    <w:rsid w:val="0084469B"/>
    <w:rsid w:val="00872A25"/>
    <w:rsid w:val="00876558"/>
    <w:rsid w:val="008A3D8F"/>
    <w:rsid w:val="008B4AC3"/>
    <w:rsid w:val="008E7C6D"/>
    <w:rsid w:val="0090589A"/>
    <w:rsid w:val="009470BE"/>
    <w:rsid w:val="00952083"/>
    <w:rsid w:val="00957723"/>
    <w:rsid w:val="00982F02"/>
    <w:rsid w:val="009A2DCB"/>
    <w:rsid w:val="009B1427"/>
    <w:rsid w:val="009B5E1C"/>
    <w:rsid w:val="009C0F61"/>
    <w:rsid w:val="009E3078"/>
    <w:rsid w:val="00A07AD4"/>
    <w:rsid w:val="00A16013"/>
    <w:rsid w:val="00A56058"/>
    <w:rsid w:val="00A768B6"/>
    <w:rsid w:val="00A77216"/>
    <w:rsid w:val="00AA39FD"/>
    <w:rsid w:val="00AA6C92"/>
    <w:rsid w:val="00AC389A"/>
    <w:rsid w:val="00AD55FC"/>
    <w:rsid w:val="00AD7C13"/>
    <w:rsid w:val="00AE74E4"/>
    <w:rsid w:val="00B17BE5"/>
    <w:rsid w:val="00B57BF0"/>
    <w:rsid w:val="00B64F7B"/>
    <w:rsid w:val="00B67498"/>
    <w:rsid w:val="00B70CCE"/>
    <w:rsid w:val="00B841F2"/>
    <w:rsid w:val="00B87D03"/>
    <w:rsid w:val="00BA5D92"/>
    <w:rsid w:val="00BB32B4"/>
    <w:rsid w:val="00C34D6B"/>
    <w:rsid w:val="00C42979"/>
    <w:rsid w:val="00C72461"/>
    <w:rsid w:val="00C776AB"/>
    <w:rsid w:val="00C77D82"/>
    <w:rsid w:val="00CA75EC"/>
    <w:rsid w:val="00CB3BB8"/>
    <w:rsid w:val="00CD079E"/>
    <w:rsid w:val="00CD6944"/>
    <w:rsid w:val="00CE6428"/>
    <w:rsid w:val="00CE7664"/>
    <w:rsid w:val="00D32674"/>
    <w:rsid w:val="00D34916"/>
    <w:rsid w:val="00D37DE9"/>
    <w:rsid w:val="00D97A3C"/>
    <w:rsid w:val="00D97C8E"/>
    <w:rsid w:val="00DB71E3"/>
    <w:rsid w:val="00DC7932"/>
    <w:rsid w:val="00DD633C"/>
    <w:rsid w:val="00DF122F"/>
    <w:rsid w:val="00DF15D3"/>
    <w:rsid w:val="00DF33A9"/>
    <w:rsid w:val="00DF5375"/>
    <w:rsid w:val="00E16075"/>
    <w:rsid w:val="00E22C50"/>
    <w:rsid w:val="00E31A3A"/>
    <w:rsid w:val="00E4670A"/>
    <w:rsid w:val="00E6783C"/>
    <w:rsid w:val="00E729E1"/>
    <w:rsid w:val="00E842DE"/>
    <w:rsid w:val="00E96CB5"/>
    <w:rsid w:val="00EB6FA6"/>
    <w:rsid w:val="00ED5310"/>
    <w:rsid w:val="00EE4DC1"/>
    <w:rsid w:val="00F21AA2"/>
    <w:rsid w:val="00F227CA"/>
    <w:rsid w:val="00F32599"/>
    <w:rsid w:val="00F462EB"/>
    <w:rsid w:val="00F51119"/>
    <w:rsid w:val="00F55D57"/>
    <w:rsid w:val="00F56F53"/>
    <w:rsid w:val="00F67E8A"/>
    <w:rsid w:val="00F756BE"/>
    <w:rsid w:val="00F94AE8"/>
    <w:rsid w:val="00F95E0B"/>
    <w:rsid w:val="00FA54F8"/>
    <w:rsid w:val="00FC656C"/>
    <w:rsid w:val="00FD2A87"/>
    <w:rsid w:val="00FD4006"/>
    <w:rsid w:val="00FD7F72"/>
    <w:rsid w:val="00FE0EA7"/>
    <w:rsid w:val="00FF21B3"/>
    <w:rsid w:val="018E53BB"/>
    <w:rsid w:val="01AA6F76"/>
    <w:rsid w:val="01E70628"/>
    <w:rsid w:val="023549ED"/>
    <w:rsid w:val="04016093"/>
    <w:rsid w:val="050670F6"/>
    <w:rsid w:val="05B77927"/>
    <w:rsid w:val="05D017A9"/>
    <w:rsid w:val="06074566"/>
    <w:rsid w:val="097C7D74"/>
    <w:rsid w:val="0B870CC8"/>
    <w:rsid w:val="0CAC2B9A"/>
    <w:rsid w:val="0D24167A"/>
    <w:rsid w:val="0DBC68F4"/>
    <w:rsid w:val="0DE620DB"/>
    <w:rsid w:val="0E340CB9"/>
    <w:rsid w:val="0E74071F"/>
    <w:rsid w:val="0E791216"/>
    <w:rsid w:val="0EF976A2"/>
    <w:rsid w:val="0F173B81"/>
    <w:rsid w:val="10282868"/>
    <w:rsid w:val="10DB073B"/>
    <w:rsid w:val="11305DD2"/>
    <w:rsid w:val="113B7F1F"/>
    <w:rsid w:val="117874EE"/>
    <w:rsid w:val="11D706B9"/>
    <w:rsid w:val="14786431"/>
    <w:rsid w:val="1572578D"/>
    <w:rsid w:val="1581131C"/>
    <w:rsid w:val="1582301E"/>
    <w:rsid w:val="15A74AC5"/>
    <w:rsid w:val="16CB5FEA"/>
    <w:rsid w:val="175005C5"/>
    <w:rsid w:val="1757604D"/>
    <w:rsid w:val="17EE6824"/>
    <w:rsid w:val="183273D8"/>
    <w:rsid w:val="192A59DA"/>
    <w:rsid w:val="1A436825"/>
    <w:rsid w:val="1B5C1EC9"/>
    <w:rsid w:val="206C0B11"/>
    <w:rsid w:val="237F4A39"/>
    <w:rsid w:val="24E8586E"/>
    <w:rsid w:val="255B4D05"/>
    <w:rsid w:val="272A48F7"/>
    <w:rsid w:val="281E224F"/>
    <w:rsid w:val="2A4D50A0"/>
    <w:rsid w:val="2A523117"/>
    <w:rsid w:val="2C8F6F07"/>
    <w:rsid w:val="2DCE1D05"/>
    <w:rsid w:val="2F3D61D2"/>
    <w:rsid w:val="2F881D37"/>
    <w:rsid w:val="2FBE70DD"/>
    <w:rsid w:val="2FC875F1"/>
    <w:rsid w:val="3002138A"/>
    <w:rsid w:val="30256996"/>
    <w:rsid w:val="303E7F10"/>
    <w:rsid w:val="305E7B2E"/>
    <w:rsid w:val="321133F7"/>
    <w:rsid w:val="32327F56"/>
    <w:rsid w:val="34B43273"/>
    <w:rsid w:val="36A90DFB"/>
    <w:rsid w:val="36AD7360"/>
    <w:rsid w:val="3745642C"/>
    <w:rsid w:val="38264F95"/>
    <w:rsid w:val="391E031A"/>
    <w:rsid w:val="399808BA"/>
    <w:rsid w:val="3D3B2A8B"/>
    <w:rsid w:val="3EAB33BB"/>
    <w:rsid w:val="40027731"/>
    <w:rsid w:val="40D90273"/>
    <w:rsid w:val="42D46645"/>
    <w:rsid w:val="45334D60"/>
    <w:rsid w:val="45352A25"/>
    <w:rsid w:val="45B45217"/>
    <w:rsid w:val="45DD6F26"/>
    <w:rsid w:val="461E209B"/>
    <w:rsid w:val="475D3A41"/>
    <w:rsid w:val="486B627C"/>
    <w:rsid w:val="48920C4A"/>
    <w:rsid w:val="4A27346B"/>
    <w:rsid w:val="4CA120C2"/>
    <w:rsid w:val="4D7A3546"/>
    <w:rsid w:val="50EF7380"/>
    <w:rsid w:val="51CD7581"/>
    <w:rsid w:val="5246001F"/>
    <w:rsid w:val="532C12F1"/>
    <w:rsid w:val="536819F0"/>
    <w:rsid w:val="54DB547E"/>
    <w:rsid w:val="5542580D"/>
    <w:rsid w:val="56A64773"/>
    <w:rsid w:val="583B6CB7"/>
    <w:rsid w:val="58BF51CD"/>
    <w:rsid w:val="59017BBE"/>
    <w:rsid w:val="5C101056"/>
    <w:rsid w:val="5F462A34"/>
    <w:rsid w:val="60953FFB"/>
    <w:rsid w:val="6120389E"/>
    <w:rsid w:val="62AE0730"/>
    <w:rsid w:val="62C20A68"/>
    <w:rsid w:val="65FA31A3"/>
    <w:rsid w:val="667E292E"/>
    <w:rsid w:val="67452B6E"/>
    <w:rsid w:val="682B78C6"/>
    <w:rsid w:val="69DD3507"/>
    <w:rsid w:val="6EB27AD0"/>
    <w:rsid w:val="70076D68"/>
    <w:rsid w:val="70F527F6"/>
    <w:rsid w:val="736E5030"/>
    <w:rsid w:val="73C229F7"/>
    <w:rsid w:val="74C257D4"/>
    <w:rsid w:val="755D72AA"/>
    <w:rsid w:val="75D03F20"/>
    <w:rsid w:val="76D66E85"/>
    <w:rsid w:val="76FF1F01"/>
    <w:rsid w:val="79D56180"/>
    <w:rsid w:val="7C2E2328"/>
    <w:rsid w:val="7C8C0989"/>
    <w:rsid w:val="7D8F7F0D"/>
    <w:rsid w:val="7E6A7869"/>
    <w:rsid w:val="7EAA3118"/>
    <w:rsid w:val="7F09671E"/>
    <w:rsid w:val="7FA75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0"/>
    <w:pPr>
      <w:spacing w:line="360" w:lineRule="auto"/>
    </w:pPr>
    <w:rPr>
      <w:rFonts w:ascii="Times New Roman" w:hAnsi="Times New Roman" w:cs="Courier New"/>
      <w:sz w:val="28"/>
      <w:szCs w:val="21"/>
    </w:rPr>
  </w:style>
  <w:style w:type="paragraph" w:styleId="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autoRedefine/>
    <w:qFormat/>
    <w:uiPriority w:val="0"/>
    <w:pPr>
      <w:ind w:left="0" w:leftChars="0" w:firstLine="420"/>
    </w:pPr>
    <w:rPr>
      <w:rFonts w:eastAsia="宋体"/>
      <w:szCs w:val="2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semiHidden/>
    <w:qFormat/>
    <w:uiPriority w:val="0"/>
  </w:style>
  <w:style w:type="character" w:customStyle="1" w:styleId="11">
    <w:name w:val="页眉 Char"/>
    <w:link w:val="5"/>
    <w:autoRedefine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表图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  <w:style w:type="paragraph" w:styleId="14">
    <w:name w:val="No Spacing"/>
    <w:autoRedefine/>
    <w:qFormat/>
    <w:uiPriority w:val="1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1"/>
      <w:lang w:val="en-US" w:eastAsia="zh-CN" w:bidi="ar-SA"/>
    </w:rPr>
  </w:style>
  <w:style w:type="character" w:customStyle="1" w:styleId="15">
    <w:name w:val="font1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四川省煤田地质工程勘察设计研究院</Company>
  <Pages>11</Pages>
  <Words>4929</Words>
  <Characters>6204</Characters>
  <Lines>38</Lines>
  <Paragraphs>10</Paragraphs>
  <TotalTime>1</TotalTime>
  <ScaleCrop>false</ScaleCrop>
  <LinksUpToDate>false</LinksUpToDate>
  <CharactersWithSpaces>6320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2020-05-24T01:33:00Z</dcterms:created>
  <dc:creator>SKYLZY</dc:creator>
  <cp:lastModifiedBy>飞鸟</cp:lastModifiedBy>
  <dcterms:modified xsi:type="dcterms:W3CDTF">2024-03-05T07:42:32Z</dcterms:modified>
  <dc:title>四川省古蔺县川南煤田古叙矿区石宝矿段煤炭资源详查设计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5E2146BF91CD44678C4939F1616F305B_13</vt:lpwstr>
  </property>
</Properties>
</file>