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ind w:left="0"/>
        <w:jc w:val="left"/>
        <w:textAlignment w:val="auto"/>
        <w:rPr>
          <w:rFonts w:hint="eastAsia" w:eastAsia="仿宋_GB2312"/>
          <w:color w:val="auto"/>
          <w:sz w:val="32"/>
          <w:szCs w:val="32"/>
          <w:highlight w:val="none"/>
          <w:lang w:eastAsia="zh-CN"/>
        </w:rPr>
      </w:pPr>
      <w:r>
        <w:rPr>
          <w:rFonts w:hint="eastAsia" w:ascii="黑体" w:hAnsi="黑体" w:eastAsia="黑体" w:cs="黑体"/>
          <w:color w:val="auto"/>
          <w:sz w:val="32"/>
          <w:szCs w:val="32"/>
          <w:highlight w:val="none"/>
          <w:lang w:eastAsia="zh-CN"/>
        </w:rPr>
        <w:t>附件</w:t>
      </w:r>
    </w:p>
    <w:p>
      <w:pPr>
        <w:tabs>
          <w:tab w:val="left" w:pos="3045"/>
        </w:tabs>
        <w:spacing w:line="520" w:lineRule="exact"/>
        <w:jc w:val="center"/>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tabs>
          <w:tab w:val="left" w:pos="3045"/>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rPr>
        <w:t>年度四川省自然资源</w:t>
      </w:r>
      <w:r>
        <w:rPr>
          <w:rFonts w:hint="eastAsia" w:ascii="方正小标宋简体" w:hAnsi="方正小标宋简体" w:eastAsia="方正小标宋简体" w:cs="方正小标宋简体"/>
          <w:color w:val="auto"/>
          <w:sz w:val="44"/>
          <w:szCs w:val="44"/>
          <w:highlight w:val="none"/>
          <w:lang w:eastAsia="zh-CN"/>
        </w:rPr>
        <w:t>厅</w:t>
      </w:r>
      <w:r>
        <w:rPr>
          <w:rFonts w:hint="eastAsia" w:ascii="方正小标宋简体" w:hAnsi="方正小标宋简体" w:eastAsia="方正小标宋简体" w:cs="方正小标宋简体"/>
          <w:color w:val="auto"/>
          <w:sz w:val="44"/>
          <w:szCs w:val="44"/>
          <w:highlight w:val="none"/>
          <w:lang w:val="en-US" w:eastAsia="zh-CN"/>
        </w:rPr>
        <w:t>科研项目</w:t>
      </w:r>
    </w:p>
    <w:p>
      <w:pPr>
        <w:keepNext w:val="0"/>
        <w:keepLines w:val="0"/>
        <w:pageBreakBefore w:val="0"/>
        <w:widowControl w:val="0"/>
        <w:tabs>
          <w:tab w:val="left" w:pos="3045"/>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w:t>
      </w:r>
      <w:r>
        <w:rPr>
          <w:rFonts w:hint="eastAsia" w:ascii="方正小标宋简体" w:hAnsi="方正小标宋简体" w:eastAsia="方正小标宋简体" w:cs="方正小标宋简体"/>
          <w:color w:val="auto"/>
          <w:sz w:val="44"/>
          <w:szCs w:val="44"/>
          <w:highlight w:val="none"/>
        </w:rPr>
        <w:t>新型智库研究课题</w:t>
      </w:r>
      <w:r>
        <w:rPr>
          <w:rFonts w:hint="eastAsia" w:ascii="方正小标宋简体" w:hAnsi="方正小标宋简体" w:eastAsia="方正小标宋简体" w:cs="方正小标宋简体"/>
          <w:color w:val="auto"/>
          <w:sz w:val="44"/>
          <w:szCs w:val="44"/>
          <w:highlight w:val="none"/>
          <w:lang w:val="en-US" w:eastAsia="zh-CN"/>
        </w:rPr>
        <w:t>）</w:t>
      </w:r>
      <w:r>
        <w:rPr>
          <w:rFonts w:hint="eastAsia" w:ascii="方正小标宋简体" w:hAnsi="方正小标宋简体" w:eastAsia="方正小标宋简体" w:cs="方正小标宋简体"/>
          <w:color w:val="auto"/>
          <w:sz w:val="44"/>
          <w:szCs w:val="44"/>
          <w:highlight w:val="none"/>
        </w:rPr>
        <w:t>申报指南</w:t>
      </w:r>
    </w:p>
    <w:p>
      <w:pPr>
        <w:keepNext w:val="0"/>
        <w:keepLines w:val="0"/>
        <w:pageBreakBefore w:val="0"/>
        <w:widowControl w:val="0"/>
        <w:tabs>
          <w:tab w:val="left" w:pos="3045"/>
        </w:tabs>
        <w:kinsoku/>
        <w:wordWrap/>
        <w:overflowPunct w:val="0"/>
        <w:topLinePunct w:val="0"/>
        <w:autoSpaceDE w:val="0"/>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32"/>
          <w:szCs w:val="32"/>
          <w:highlight w:val="none"/>
        </w:rPr>
      </w:pP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一、重点方向</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（一）自然资源调查监测和确权登记领域</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1.自然资源态势感知体系建设研究（以耕地资源为例）；</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2.耕地复合利用现状调查研究；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3.四川省耕地动态监测与治理对策研究；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4.乡村振兴背景下的耕地保护和土地利用现状调查研究；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5.面向自然资源管理的实景三维应用场景体系建设研究；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6.人工智能背景下的实景三维服务国土空间规划实施监管策略研究；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7.不动产大数据辅助自然资源管理决策应用研究。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（二）自然资源所有者权益与开发利用领域</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1.自然资源领域生态产品价值实现模式、机制和案例研究；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2.自然资源领域生态环境损害司法鉴定现状与需求研究；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3.国有企事业单位存量土地资产管理及盘活利用研究；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4.新形势下土地储备路径探索及价值提升研究；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5.储备土地前期开发、管护和资产权益落实现状研究；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6.国有建设用地收储模式研究；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7.全民所有自然资源资产清查的实践探索与思考；</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8.储备土地管理利用现状分析及价值提升研究；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9.《四川省工业项目建设用地控制指标》实施情况调查研究。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（三）国土空间规划与用途管制领域</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1.四川省深化落实主体功能区战略的对策建议；</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2.国土空间规划实施监管体系研究；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3.宅基地空间置换研究；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4.国家重大水电建设工程施工建设料场用地保障政策研究。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（四）国土空间生态保护修复领域</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1.生态保护修复综合评估技术研究；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2.建设占用耕地耕作层土壤剥离再利用技术规范研究；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3.四川黄河上游山水林田湖草沙一体化保护修复路径、机制与对策研究。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（五）耕地保护与督察执法领域</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1.完善党政同责的耕地目标责任考核制度，建立务实管用的约束激励机制；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2.耕地复合利用模式研究。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（六）地质灾害防治领域</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1.地质灾害风险预警机制深化研究；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2.西南山区崩滑流引发链生灾害应急响应机制及其应急处置对策研究；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17"/>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3.四川</w:t>
      </w:r>
      <w:r>
        <w:rPr>
          <w:rFonts w:hint="eastAsia" w:ascii="仿宋_GB2312" w:hAnsi="仿宋_GB2312" w:eastAsia="仿宋_GB2312" w:cs="仿宋_GB2312"/>
          <w:color w:val="auto"/>
          <w:spacing w:val="-17"/>
          <w:sz w:val="32"/>
          <w:szCs w:val="32"/>
          <w:highlight w:val="none"/>
          <w:lang w:val="en-US" w:eastAsia="zh-CN"/>
        </w:rPr>
        <w:t>省</w:t>
      </w:r>
      <w:r>
        <w:rPr>
          <w:rFonts w:hint="eastAsia" w:ascii="仿宋_GB2312" w:hAnsi="仿宋_GB2312" w:eastAsia="仿宋_GB2312" w:cs="仿宋_GB2312"/>
          <w:color w:val="auto"/>
          <w:spacing w:val="-11"/>
          <w:sz w:val="32"/>
          <w:szCs w:val="32"/>
          <w:highlight w:val="none"/>
          <w:lang w:val="en-US" w:eastAsia="zh-CN"/>
        </w:rPr>
        <w:t>山区城镇高危地质灾害精细化</w:t>
      </w:r>
      <w:r>
        <w:rPr>
          <w:rFonts w:hint="eastAsia" w:ascii="仿宋_GB2312" w:hAnsi="仿宋_GB2312" w:eastAsia="仿宋_GB2312" w:cs="仿宋_GB2312"/>
          <w:color w:val="auto"/>
          <w:spacing w:val="-17"/>
          <w:sz w:val="32"/>
          <w:szCs w:val="32"/>
          <w:highlight w:val="none"/>
          <w:lang w:val="en-US" w:eastAsia="zh-CN"/>
        </w:rPr>
        <w:t>风险评价技术方法研究；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4.突发性地质灾害应急技术支撑工作机制研究。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（七）地质矿产勘查与开发领域</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1.地勘单位改革“后半篇”文章的研究；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2.盘活存量资产尤其是矿业权的相关研究；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3.激励地勘单位、矿山企业和社会资本参与新一轮找矿突破战略行动的创新机制及配套政策研究；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4.僵尸矿处置的研究；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5.四川省矿业经济发展调查研究；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6.新时代推进绿色矿山建设助力四川矿业高质量发展研究；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7.生态文明体制改革背景下四川省矿产资源开发利用水平调查评估机制研究；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8.以习近平生态文明思想为引领的矿产资源全周期高质量管理体系构建研究；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9.新一轮找矿突破战略行动下矿业权区块出让工作能效提升的机制、路径及方法研究；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11"/>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10.四</w:t>
      </w:r>
      <w:r>
        <w:rPr>
          <w:rFonts w:hint="eastAsia" w:ascii="仿宋_GB2312" w:hAnsi="仿宋_GB2312" w:eastAsia="仿宋_GB2312" w:cs="仿宋_GB2312"/>
          <w:color w:val="auto"/>
          <w:spacing w:val="-6"/>
          <w:sz w:val="32"/>
          <w:szCs w:val="32"/>
          <w:highlight w:val="none"/>
          <w:lang w:val="en-US" w:eastAsia="zh-CN"/>
        </w:rPr>
        <w:t>川省重要非金属矿产资</w:t>
      </w:r>
      <w:r>
        <w:rPr>
          <w:rFonts w:hint="eastAsia" w:ascii="仿宋_GB2312" w:hAnsi="仿宋_GB2312" w:eastAsia="仿宋_GB2312" w:cs="仿宋_GB2312"/>
          <w:color w:val="auto"/>
          <w:spacing w:val="-11"/>
          <w:sz w:val="32"/>
          <w:szCs w:val="32"/>
          <w:highlight w:val="none"/>
          <w:lang w:val="en-US" w:eastAsia="zh-CN"/>
        </w:rPr>
        <w:t>源利用调查及优化配置政策研究；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11.新时期地勘队伍高质量发展绿色数智化转型路径与对策研究；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12.“净矿”出让实施过程中存在的问题研究；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13.攀西钒钛产业基地资源保障战略研究；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14.地勘单位盘活存量资产及处置不良资产研究；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15.四川省地热产业高质量发展政策研究。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（八）其他（支撑体系建设领域）</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1.四川省自然资源新型智库体系建设研究；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2.四川省自然资源厅科技成果转化现状及推进机制研究；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3.四川省自然资源大数据融合共享与应用研究；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4.自然资源领域推动新质生产力研究；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5.四</w:t>
      </w:r>
      <w:r>
        <w:rPr>
          <w:rFonts w:hint="eastAsia" w:ascii="仿宋_GB2312" w:hAnsi="仿宋_GB2312" w:eastAsia="仿宋_GB2312" w:cs="仿宋_GB2312"/>
          <w:color w:val="auto"/>
          <w:spacing w:val="-6"/>
          <w:sz w:val="32"/>
          <w:szCs w:val="32"/>
          <w:highlight w:val="none"/>
          <w:lang w:val="en-US" w:eastAsia="zh-CN"/>
        </w:rPr>
        <w:t>川省自然资源领域地方性法规体系构建及配套政策研究。</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二、考核目标</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项目申报绩效目标需包括但不限于考核目标，考核目标应满足下列条件之一。</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1.创造经济效益至少30万元；</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2.申请软著或发明专利至少1项；</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3.研究成果应用至少3项〔包括成果应用证明、决策咨询报告、规划（政策）评估报告、政策建议、立（修）法建议、调研报告、案例分析报告、课题研究报告等〕；</w:t>
      </w:r>
    </w:p>
    <w:p>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4.项目成员以第一作者或通讯作者身份公开发表核心期刊论文至少1篇。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5742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2024-03-28T08:07:02Z</dcterms:created>
  <dc:creator>Administrator</dc:creator>
  <cp:lastModifiedBy>Administrator</cp:lastModifiedBy>
  <dcterms:modified xsi:type="dcterms:W3CDTF">2024-03-28T08:07:19Z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694BD6C3EEED47D0A211516FE6FFEFE3_12</vt:lpwstr>
  </property>
</Properties>
</file>