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方正小标宋简体"/>
          <w:sz w:val="36"/>
          <w:szCs w:val="36"/>
        </w:rPr>
      </w:pPr>
      <w:r>
        <w:rPr>
          <w:rFonts w:hint="eastAsia" w:ascii="黑体" w:hAnsi="黑体" w:eastAsia="黑体" w:cs="方正小标宋简体"/>
          <w:sz w:val="36"/>
          <w:szCs w:val="36"/>
        </w:rPr>
        <w:t>四川省矿产资源开发利用方案信息表</w:t>
      </w:r>
    </w:p>
    <w:tbl>
      <w:tblPr>
        <w:tblStyle w:val="4"/>
        <w:tblpPr w:leftFromText="180" w:rightFromText="180" w:vertAnchor="page" w:horzAnchor="page" w:tblpX="1577" w:tblpY="2136"/>
        <w:tblOverlap w:val="never"/>
        <w:tblW w:w="8997" w:type="dxa"/>
        <w:tblInd w:w="0" w:type="dxa"/>
        <w:tblLayout w:type="fixed"/>
        <w:tblCellMar>
          <w:top w:w="0" w:type="dxa"/>
          <w:left w:w="108" w:type="dxa"/>
          <w:bottom w:w="0" w:type="dxa"/>
          <w:right w:w="108" w:type="dxa"/>
        </w:tblCellMar>
      </w:tblPr>
      <w:tblGrid>
        <w:gridCol w:w="1249"/>
        <w:gridCol w:w="1156"/>
        <w:gridCol w:w="1418"/>
        <w:gridCol w:w="1417"/>
        <w:gridCol w:w="1701"/>
        <w:gridCol w:w="2056"/>
      </w:tblGrid>
      <w:tr>
        <w:trPr>
          <w:trHeight w:val="448" w:hRule="atLeast"/>
        </w:trPr>
        <w:tc>
          <w:tcPr>
            <w:tcW w:w="1249" w:type="dxa"/>
            <w:vMerge w:val="restart"/>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矿山名称</w:t>
            </w:r>
          </w:p>
        </w:tc>
        <w:tc>
          <w:tcPr>
            <w:tcW w:w="399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四川世腾建设工程有限公司油菜坪磷矿</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公示号</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黑体" w:hAnsi="黑体" w:eastAsia="黑体" w:cs="黑体"/>
                <w:color w:val="000000"/>
                <w:sz w:val="18"/>
                <w:szCs w:val="18"/>
                <w:lang w:val="en-US" w:eastAsia="zh-CN"/>
              </w:rPr>
            </w:pPr>
            <w:r>
              <w:rPr>
                <w:rFonts w:hint="eastAsia" w:ascii="黑体" w:hAnsi="黑体" w:eastAsia="黑体" w:cs="黑体"/>
                <w:color w:val="000000"/>
                <w:kern w:val="0"/>
                <w:sz w:val="18"/>
                <w:szCs w:val="18"/>
                <w:lang w:val="en-US" w:eastAsia="zh-CN" w:bidi="ar"/>
              </w:rPr>
              <w:t xml:space="preserve"> </w:t>
            </w:r>
          </w:p>
        </w:tc>
      </w:tr>
      <w:tr>
        <w:tblPrEx>
          <w:tblCellMar>
            <w:top w:w="0" w:type="dxa"/>
            <w:left w:w="108" w:type="dxa"/>
            <w:bottom w:w="0" w:type="dxa"/>
            <w:right w:w="108" w:type="dxa"/>
          </w:tblCellMar>
        </w:tblPrEx>
        <w:trPr>
          <w:trHeight w:val="409" w:hRule="atLeast"/>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p>
        </w:tc>
        <w:tc>
          <w:tcPr>
            <w:tcW w:w="399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采矿权登记类别</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黑体" w:hAnsi="黑体" w:eastAsia="黑体" w:cs="黑体"/>
                <w:color w:val="000000"/>
                <w:sz w:val="18"/>
                <w:szCs w:val="18"/>
              </w:rPr>
            </w:pPr>
          </w:p>
        </w:tc>
      </w:tr>
      <w:tr>
        <w:tblPrEx>
          <w:tblCellMar>
            <w:top w:w="0" w:type="dxa"/>
            <w:left w:w="108" w:type="dxa"/>
            <w:bottom w:w="0" w:type="dxa"/>
            <w:right w:w="108" w:type="dxa"/>
          </w:tblCellMar>
        </w:tblPrEx>
        <w:trPr>
          <w:trHeight w:val="483"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编制单位</w:t>
            </w:r>
          </w:p>
        </w:tc>
        <w:tc>
          <w:tcPr>
            <w:tcW w:w="399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中蓝长化工程科技有限公司</w:t>
            </w: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矿区范围核准证</w:t>
            </w:r>
          </w:p>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文件及文号</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黑体" w:hAnsi="黑体" w:eastAsia="黑体" w:cs="黑体"/>
                <w:color w:val="000000"/>
                <w:sz w:val="18"/>
                <w:szCs w:val="18"/>
              </w:rPr>
            </w:pPr>
            <w:bookmarkStart w:id="0" w:name="_GoBack"/>
            <w:bookmarkEnd w:id="0"/>
          </w:p>
        </w:tc>
      </w:tr>
      <w:tr>
        <w:tblPrEx>
          <w:tblCellMar>
            <w:top w:w="0" w:type="dxa"/>
            <w:left w:w="108" w:type="dxa"/>
            <w:bottom w:w="0" w:type="dxa"/>
            <w:right w:w="108" w:type="dxa"/>
          </w:tblCellMar>
        </w:tblPrEx>
        <w:trPr>
          <w:trHeight w:val="521"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建设规模</w:t>
            </w:r>
          </w:p>
        </w:tc>
        <w:tc>
          <w:tcPr>
            <w:tcW w:w="11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ascii="黑体" w:hAnsi="黑体" w:eastAsia="黑体" w:cs="黑体"/>
                <w:color w:val="000000"/>
                <w:kern w:val="0"/>
                <w:sz w:val="18"/>
                <w:szCs w:val="18"/>
                <w:lang w:bidi="ar"/>
              </w:rPr>
              <w:t>80</w:t>
            </w:r>
            <w:r>
              <w:rPr>
                <w:rFonts w:hint="eastAsia" w:ascii="黑体" w:hAnsi="黑体" w:eastAsia="黑体" w:cs="黑体"/>
                <w:color w:val="000000"/>
                <w:kern w:val="0"/>
                <w:sz w:val="18"/>
                <w:szCs w:val="18"/>
                <w:lang w:bidi="ar"/>
              </w:rPr>
              <w:t>万吨/年</w:t>
            </w:r>
          </w:p>
        </w:tc>
        <w:tc>
          <w:tcPr>
            <w:tcW w:w="14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服务年限</w:t>
            </w:r>
          </w:p>
        </w:tc>
        <w:tc>
          <w:tcPr>
            <w:tcW w:w="1417"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18"/>
                <w:szCs w:val="18"/>
              </w:rPr>
            </w:pPr>
            <w:r>
              <w:rPr>
                <w:rFonts w:ascii="黑体" w:hAnsi="黑体" w:eastAsia="黑体" w:cs="黑体"/>
                <w:color w:val="000000"/>
                <w:kern w:val="0"/>
                <w:sz w:val="18"/>
                <w:szCs w:val="18"/>
                <w:lang w:bidi="ar"/>
              </w:rPr>
              <w:t>21.8</w:t>
            </w:r>
            <w:r>
              <w:rPr>
                <w:rFonts w:hint="eastAsia" w:ascii="黑体" w:hAnsi="黑体" w:eastAsia="黑体" w:cs="黑体"/>
                <w:color w:val="000000"/>
                <w:kern w:val="0"/>
                <w:sz w:val="18"/>
                <w:szCs w:val="18"/>
                <w:lang w:bidi="ar"/>
              </w:rPr>
              <w:t>年</w:t>
            </w:r>
          </w:p>
        </w:tc>
        <w:tc>
          <w:tcPr>
            <w:tcW w:w="1701"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sz w:val="18"/>
                <w:szCs w:val="18"/>
              </w:rPr>
              <w:t>开发利用方案审查文号</w:t>
            </w:r>
          </w:p>
        </w:tc>
        <w:tc>
          <w:tcPr>
            <w:tcW w:w="205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r>
              <w:rPr>
                <w:rFonts w:hint="eastAsia" w:ascii="黑体" w:hAnsi="黑体" w:eastAsia="黑体" w:cs="黑体"/>
                <w:color w:val="000000"/>
                <w:sz w:val="18"/>
                <w:szCs w:val="18"/>
              </w:rPr>
              <w:t xml:space="preserve">川矿评开〔2024〕 </w:t>
            </w:r>
            <w:r>
              <w:rPr>
                <w:rFonts w:hint="eastAsia" w:ascii="黑体" w:hAnsi="黑体" w:eastAsia="黑体" w:cs="黑体"/>
                <w:color w:val="000000"/>
                <w:sz w:val="18"/>
                <w:szCs w:val="18"/>
                <w:lang w:val="en-US" w:eastAsia="zh-CN"/>
              </w:rPr>
              <w:t>12</w:t>
            </w:r>
            <w:r>
              <w:rPr>
                <w:rFonts w:hint="eastAsia" w:ascii="黑体" w:hAnsi="黑体" w:eastAsia="黑体" w:cs="黑体"/>
                <w:color w:val="000000"/>
                <w:sz w:val="18"/>
                <w:szCs w:val="18"/>
              </w:rPr>
              <w:t xml:space="preserve"> 号</w:t>
            </w:r>
          </w:p>
        </w:tc>
      </w:tr>
      <w:tr>
        <w:trPr>
          <w:trHeight w:val="504"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总投资额</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ascii="黑体" w:hAnsi="黑体" w:eastAsia="黑体" w:cs="黑体"/>
                <w:color w:val="000000"/>
                <w:kern w:val="0"/>
                <w:sz w:val="18"/>
                <w:szCs w:val="18"/>
                <w:lang w:bidi="ar"/>
              </w:rPr>
              <w:t>127691.15</w:t>
            </w:r>
            <w:r>
              <w:rPr>
                <w:rFonts w:hint="eastAsia" w:ascii="黑体" w:hAnsi="黑体" w:eastAsia="黑体" w:cs="黑体"/>
                <w:color w:val="000000"/>
                <w:kern w:val="0"/>
                <w:sz w:val="18"/>
                <w:szCs w:val="18"/>
                <w:lang w:bidi="ar"/>
              </w:rPr>
              <w:t>万元</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资源储量</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保有资源储量</w:t>
            </w:r>
            <w:r>
              <w:rPr>
                <w:rFonts w:hint="eastAsia" w:ascii="黑体" w:hAnsi="黑体" w:eastAsia="黑体" w:cs="黑体"/>
                <w:color w:val="000000"/>
                <w:kern w:val="0"/>
                <w:sz w:val="18"/>
                <w:szCs w:val="18"/>
                <w:lang w:bidi="ar"/>
              </w:rPr>
              <w:br w:type="textWrapping"/>
            </w:r>
            <w:r>
              <w:rPr>
                <w:rFonts w:hint="eastAsia" w:ascii="黑体" w:hAnsi="黑体" w:eastAsia="黑体" w:cs="黑体"/>
                <w:color w:val="000000"/>
                <w:kern w:val="0"/>
                <w:sz w:val="18"/>
                <w:szCs w:val="18"/>
                <w:lang w:bidi="ar"/>
              </w:rPr>
              <w:t>（占用）</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矿石量：2006.90</w:t>
            </w:r>
          </w:p>
        </w:tc>
      </w:tr>
      <w:tr>
        <w:tblPrEx>
          <w:tblCellMar>
            <w:top w:w="0" w:type="dxa"/>
            <w:left w:w="108" w:type="dxa"/>
            <w:bottom w:w="0" w:type="dxa"/>
            <w:right w:w="108" w:type="dxa"/>
          </w:tblCellMar>
        </w:tblPrEx>
        <w:trPr>
          <w:trHeight w:val="44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开采方式</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地下开采</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金属量：</w:t>
            </w:r>
          </w:p>
        </w:tc>
      </w:tr>
      <w:tr>
        <w:trPr>
          <w:trHeight w:val="504"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开拓系统</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胶带斜井+辅助平硐联合</w:t>
            </w:r>
            <w:r>
              <w:rPr>
                <w:rFonts w:ascii="黑体" w:hAnsi="黑体" w:eastAsia="黑体" w:cs="黑体"/>
                <w:color w:val="000000"/>
                <w:kern w:val="0"/>
                <w:sz w:val="18"/>
                <w:szCs w:val="18"/>
                <w:lang w:bidi="ar"/>
              </w:rPr>
              <w:t>开拓</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设计利用量</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矿石量：1830.22</w:t>
            </w:r>
          </w:p>
        </w:tc>
      </w:tr>
      <w:tr>
        <w:tblPrEx>
          <w:tblCellMar>
            <w:top w:w="0" w:type="dxa"/>
            <w:left w:w="108" w:type="dxa"/>
            <w:bottom w:w="0" w:type="dxa"/>
            <w:right w:w="108" w:type="dxa"/>
          </w:tblCellMar>
        </w:tblPrEx>
        <w:trPr>
          <w:trHeight w:val="448" w:hRule="atLeast"/>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开采顺序</w:t>
            </w:r>
          </w:p>
        </w:tc>
        <w:tc>
          <w:tcPr>
            <w:tcW w:w="25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2380m中段以上采用自下而上的开采顺序，2380m中段以下采用自上而下的开采顺序。中段内由中间向两端前进式开采。分段间由上向下开采</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设计利用率（%）</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r>
              <w:rPr>
                <w:rFonts w:ascii="黑体" w:hAnsi="黑体" w:eastAsia="黑体" w:cs="黑体"/>
                <w:color w:val="000000"/>
                <w:sz w:val="18"/>
                <w:szCs w:val="18"/>
              </w:rPr>
              <w:t>91.20</w:t>
            </w:r>
          </w:p>
        </w:tc>
      </w:tr>
      <w:tr>
        <w:trPr>
          <w:trHeight w:val="448" w:hRule="atLeast"/>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可采量</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矿石量：1464.17</w:t>
            </w:r>
          </w:p>
        </w:tc>
      </w:tr>
      <w:tr>
        <w:tblPrEx>
          <w:tblCellMar>
            <w:top w:w="0" w:type="dxa"/>
            <w:left w:w="108" w:type="dxa"/>
            <w:bottom w:w="0" w:type="dxa"/>
            <w:right w:w="108" w:type="dxa"/>
          </w:tblCellMar>
        </w:tblPrEx>
        <w:trPr>
          <w:trHeight w:val="66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采矿方法</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18"/>
                <w:szCs w:val="18"/>
              </w:rPr>
            </w:pPr>
            <w:r>
              <w:rPr>
                <w:rFonts w:hint="eastAsia" w:ascii="黑体" w:hAnsi="黑体" w:eastAsia="黑体" w:cs="黑体"/>
                <w:color w:val="000000"/>
                <w:kern w:val="0"/>
                <w:sz w:val="18"/>
                <w:szCs w:val="18"/>
                <w:lang w:bidi="ar"/>
              </w:rPr>
              <w:t>伪倾斜条带充填采矿法，伪倾斜房柱嗣后充填采矿法</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bCs/>
                <w:color w:val="000000"/>
                <w:sz w:val="18"/>
                <w:szCs w:val="18"/>
              </w:rPr>
            </w:pPr>
            <w:r>
              <w:rPr>
                <w:rFonts w:hint="eastAsia" w:ascii="黑体" w:hAnsi="黑体" w:eastAsia="黑体" w:cs="黑体"/>
                <w:color w:val="000000"/>
                <w:kern w:val="0"/>
                <w:sz w:val="18"/>
                <w:szCs w:val="18"/>
                <w:lang w:bidi="ar"/>
              </w:rPr>
              <w:t>三率指标</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采矿回采率（%）</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矿块（采区）：80</w:t>
            </w:r>
          </w:p>
        </w:tc>
      </w:tr>
      <w:tr>
        <w:trPr>
          <w:trHeight w:val="633"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选矿方法</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宋体"/>
                <w:color w:val="000000"/>
                <w:sz w:val="18"/>
                <w:szCs w:val="18"/>
              </w:rPr>
            </w:pPr>
            <w:r>
              <w:rPr>
                <w:rFonts w:ascii="黑体" w:hAnsi="黑体" w:eastAsia="黑体"/>
                <w:sz w:val="18"/>
                <w:szCs w:val="18"/>
              </w:rPr>
              <w:t>单一反浮选</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Cs/>
                <w:color w:val="000000"/>
                <w:sz w:val="18"/>
                <w:szCs w:val="18"/>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黑体" w:hAnsi="黑体" w:eastAsia="黑体" w:cs="黑体"/>
                <w:color w:val="000000"/>
                <w:sz w:val="18"/>
                <w:szCs w:val="18"/>
              </w:rPr>
            </w:pP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矿山（井）：73</w:t>
            </w:r>
          </w:p>
        </w:tc>
      </w:tr>
      <w:tr>
        <w:tblPrEx>
          <w:tblCellMar>
            <w:top w:w="0" w:type="dxa"/>
            <w:left w:w="108" w:type="dxa"/>
            <w:bottom w:w="0" w:type="dxa"/>
            <w:right w:w="108" w:type="dxa"/>
          </w:tblCellMar>
        </w:tblPrEx>
        <w:trPr>
          <w:trHeight w:val="529" w:hRule="atLeast"/>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产品方案</w:t>
            </w:r>
          </w:p>
        </w:tc>
        <w:tc>
          <w:tcPr>
            <w:tcW w:w="257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黑体" w:hAnsi="黑体" w:eastAsia="黑体" w:cs="宋体"/>
                <w:color w:val="000000"/>
                <w:sz w:val="18"/>
                <w:szCs w:val="18"/>
              </w:rPr>
            </w:pPr>
            <w:r>
              <w:rPr>
                <w:rFonts w:hint="eastAsia" w:ascii="黑体" w:hAnsi="黑体" w:eastAsia="黑体"/>
                <w:sz w:val="18"/>
                <w:szCs w:val="18"/>
              </w:rPr>
              <w:t>原矿：8</w:t>
            </w:r>
            <w:r>
              <w:rPr>
                <w:rFonts w:ascii="黑体" w:hAnsi="黑体" w:eastAsia="黑体"/>
                <w:sz w:val="18"/>
                <w:szCs w:val="18"/>
              </w:rPr>
              <w:t>0</w:t>
            </w:r>
            <w:r>
              <w:rPr>
                <w:rFonts w:hint="eastAsia" w:ascii="黑体" w:hAnsi="黑体" w:eastAsia="黑体"/>
                <w:sz w:val="18"/>
                <w:szCs w:val="18"/>
              </w:rPr>
              <w:t>万吨/年，采出矿石P</w:t>
            </w:r>
            <w:r>
              <w:rPr>
                <w:rFonts w:hint="eastAsia" w:ascii="黑体" w:hAnsi="黑体" w:eastAsia="黑体"/>
                <w:sz w:val="18"/>
                <w:szCs w:val="18"/>
                <w:vertAlign w:val="subscript"/>
              </w:rPr>
              <w:t>2</w:t>
            </w:r>
            <w:r>
              <w:rPr>
                <w:rFonts w:hint="eastAsia" w:ascii="黑体" w:hAnsi="黑体" w:eastAsia="黑体"/>
                <w:sz w:val="18"/>
                <w:szCs w:val="18"/>
              </w:rPr>
              <w:t>O</w:t>
            </w:r>
            <w:r>
              <w:rPr>
                <w:rFonts w:hint="eastAsia" w:ascii="黑体" w:hAnsi="黑体" w:eastAsia="黑体"/>
                <w:sz w:val="18"/>
                <w:szCs w:val="18"/>
                <w:vertAlign w:val="subscript"/>
              </w:rPr>
              <w:t>5</w:t>
            </w:r>
            <w:r>
              <w:rPr>
                <w:rFonts w:hint="eastAsia" w:ascii="黑体" w:hAnsi="黑体" w:eastAsia="黑体"/>
                <w:sz w:val="18"/>
                <w:szCs w:val="18"/>
              </w:rPr>
              <w:t>品位22.22%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Cs/>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非煤：选矿回收率（%）</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r>
              <w:rPr>
                <w:rFonts w:ascii="黑体" w:hAnsi="黑体" w:eastAsia="黑体" w:cs="黑体"/>
                <w:color w:val="000000"/>
                <w:sz w:val="18"/>
                <w:szCs w:val="18"/>
              </w:rPr>
              <w:t>90</w:t>
            </w:r>
          </w:p>
        </w:tc>
      </w:tr>
      <w:tr>
        <w:trPr>
          <w:trHeight w:val="551" w:hRule="atLeast"/>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黑体" w:hAnsi="黑体" w:eastAsia="黑体" w:cs="黑体"/>
                <w:color w:val="000000"/>
                <w:sz w:val="18"/>
                <w:szCs w:val="18"/>
              </w:rPr>
            </w:pPr>
          </w:p>
        </w:tc>
        <w:tc>
          <w:tcPr>
            <w:tcW w:w="257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Cs/>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煤：原煤入选（%）</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840"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综合利用</w:t>
            </w:r>
          </w:p>
        </w:tc>
        <w:tc>
          <w:tcPr>
            <w:tcW w:w="257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18"/>
                <w:szCs w:val="18"/>
              </w:rPr>
            </w:pPr>
            <w:r>
              <w:rPr>
                <w:rFonts w:hint="eastAsia" w:ascii="黑体" w:hAnsi="黑体" w:eastAsia="黑体"/>
                <w:sz w:val="18"/>
                <w:szCs w:val="18"/>
              </w:rPr>
              <w:t>生产期井下废石就近充填至采空区，生产期乐山拓达矿业有限公司向四川世腾建设工程有限公司提供的尾砂14.3万吨</w:t>
            </w:r>
            <w:r>
              <w:rPr>
                <w:rFonts w:ascii="黑体" w:hAnsi="黑体" w:eastAsia="黑体"/>
                <w:sz w:val="18"/>
                <w:szCs w:val="18"/>
              </w:rPr>
              <w:t>/</w:t>
            </w:r>
            <w:r>
              <w:rPr>
                <w:rFonts w:hint="eastAsia" w:ascii="黑体" w:hAnsi="黑体" w:eastAsia="黑体"/>
                <w:sz w:val="18"/>
                <w:szCs w:val="18"/>
              </w:rPr>
              <w:t>年全部充填至油菜坪磷矿采空区</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Cs/>
                <w:color w:val="000000"/>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综合利用率（%）</w:t>
            </w:r>
          </w:p>
        </w:tc>
        <w:tc>
          <w:tcPr>
            <w:tcW w:w="205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ascii="黑体" w:hAnsi="黑体" w:eastAsia="黑体"/>
                <w:sz w:val="18"/>
                <w:szCs w:val="18"/>
              </w:rPr>
            </w:pPr>
            <w:r>
              <w:rPr>
                <w:rFonts w:hint="eastAsia" w:ascii="黑体" w:hAnsi="黑体" w:eastAsia="黑体"/>
                <w:sz w:val="18"/>
                <w:szCs w:val="18"/>
              </w:rPr>
              <w:t>固废综合利用率</w:t>
            </w:r>
            <w:r>
              <w:rPr>
                <w:rFonts w:ascii="黑体" w:hAnsi="黑体" w:eastAsia="黑体"/>
                <w:sz w:val="18"/>
                <w:szCs w:val="18"/>
              </w:rPr>
              <w:t>100%</w:t>
            </w:r>
          </w:p>
        </w:tc>
      </w:tr>
      <w:tr>
        <w:trPr>
          <w:trHeight w:val="234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拟申请采矿权拐点坐标</w:t>
            </w:r>
          </w:p>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（2000国家大地坐标系）</w:t>
            </w:r>
          </w:p>
        </w:tc>
        <w:tc>
          <w:tcPr>
            <w:tcW w:w="7748"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1417"/>
              <w:gridCol w:w="709"/>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restart"/>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点号</w:t>
                  </w:r>
                </w:p>
              </w:tc>
              <w:tc>
                <w:tcPr>
                  <w:tcW w:w="2835" w:type="dxa"/>
                  <w:gridSpan w:val="2"/>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2000国家大地坐标系</w:t>
                  </w:r>
                </w:p>
              </w:tc>
              <w:tc>
                <w:tcPr>
                  <w:tcW w:w="709" w:type="dxa"/>
                  <w:vMerge w:val="restart"/>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点号</w:t>
                  </w:r>
                </w:p>
              </w:tc>
              <w:tc>
                <w:tcPr>
                  <w:tcW w:w="2977" w:type="dxa"/>
                  <w:gridSpan w:val="2"/>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Merge w:val="continue"/>
                  <w:vAlign w:val="center"/>
                </w:tcPr>
                <w:p>
                  <w:pPr>
                    <w:jc w:val="center"/>
                    <w:rPr>
                      <w:rFonts w:ascii="仿宋" w:hAnsi="仿宋" w:eastAsia="仿宋" w:cs="仿宋"/>
                      <w:color w:val="000000"/>
                      <w:sz w:val="18"/>
                      <w:szCs w:val="18"/>
                    </w:rPr>
                  </w:pPr>
                </w:p>
              </w:tc>
              <w:tc>
                <w:tcPr>
                  <w:tcW w:w="1418"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X（m）</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Y</w:t>
                  </w:r>
                  <w:r>
                    <w:rPr>
                      <w:rFonts w:ascii="仿宋" w:hAnsi="仿宋" w:eastAsia="仿宋" w:cs="仿宋"/>
                      <w:color w:val="000000"/>
                      <w:sz w:val="18"/>
                      <w:szCs w:val="18"/>
                    </w:rPr>
                    <w:t>（m）</w:t>
                  </w:r>
                </w:p>
              </w:tc>
              <w:tc>
                <w:tcPr>
                  <w:tcW w:w="709" w:type="dxa"/>
                  <w:vMerge w:val="continue"/>
                  <w:vAlign w:val="center"/>
                </w:tcPr>
                <w:p>
                  <w:pPr>
                    <w:jc w:val="center"/>
                    <w:rPr>
                      <w:rFonts w:ascii="仿宋" w:hAnsi="仿宋" w:eastAsia="仿宋" w:cs="仿宋"/>
                      <w:color w:val="000000"/>
                      <w:sz w:val="18"/>
                      <w:szCs w:val="18"/>
                    </w:rPr>
                  </w:pP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X（m）</w:t>
                  </w:r>
                </w:p>
              </w:tc>
              <w:tc>
                <w:tcPr>
                  <w:tcW w:w="1560"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Y</w:t>
                  </w:r>
                  <w:r>
                    <w:rPr>
                      <w:rFonts w:ascii="仿宋" w:hAnsi="仿宋" w:eastAsia="仿宋" w:cs="仿宋"/>
                      <w:color w:val="00000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w:t>
                  </w:r>
                </w:p>
              </w:tc>
              <w:tc>
                <w:tcPr>
                  <w:tcW w:w="1418"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3259587.00 </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34599149.00</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9</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3256177.54 </w:t>
                  </w:r>
                </w:p>
              </w:tc>
              <w:tc>
                <w:tcPr>
                  <w:tcW w:w="1560"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34599098.28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2</w:t>
                  </w:r>
                </w:p>
              </w:tc>
              <w:tc>
                <w:tcPr>
                  <w:tcW w:w="1418"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3259136.00 </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34600175.00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10</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3256675.42 </w:t>
                  </w:r>
                </w:p>
              </w:tc>
              <w:tc>
                <w:tcPr>
                  <w:tcW w:w="1560"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34598658.47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3</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3256719.00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34600177.67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11</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3257016.00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34598351.00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4</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3256719.00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34599733.63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12</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3257771.00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34598707.00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5</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3256226.22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34599733.75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13</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3258234.00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34598864.00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6</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3256226.22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34599561.97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14</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3258913.00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34598966.00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7</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3255962.40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34599412.36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15</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3259191.00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34599045.00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8</w:t>
                  </w:r>
                </w:p>
              </w:tc>
              <w:tc>
                <w:tcPr>
                  <w:tcW w:w="1418"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3255972.20 </w:t>
                  </w:r>
                </w:p>
              </w:tc>
              <w:tc>
                <w:tcPr>
                  <w:tcW w:w="1417" w:type="dxa"/>
                  <w:vAlign w:val="center"/>
                </w:tcPr>
                <w:p>
                  <w:pPr>
                    <w:ind w:right="105" w:rightChars="50"/>
                    <w:jc w:val="center"/>
                    <w:rPr>
                      <w:rFonts w:ascii="仿宋" w:hAnsi="仿宋" w:eastAsia="仿宋" w:cs="仿宋"/>
                      <w:color w:val="000000"/>
                      <w:sz w:val="18"/>
                      <w:szCs w:val="18"/>
                    </w:rPr>
                  </w:pPr>
                  <w:r>
                    <w:rPr>
                      <w:rFonts w:hint="eastAsia" w:ascii="仿宋" w:hAnsi="仿宋" w:eastAsia="仿宋" w:cs="仿宋"/>
                      <w:color w:val="000000"/>
                      <w:sz w:val="18"/>
                      <w:szCs w:val="18"/>
                    </w:rPr>
                    <w:t xml:space="preserve">34599220.05 </w:t>
                  </w:r>
                </w:p>
              </w:tc>
              <w:tc>
                <w:tcPr>
                  <w:tcW w:w="709"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16</w:t>
                  </w:r>
                </w:p>
              </w:tc>
              <w:tc>
                <w:tcPr>
                  <w:tcW w:w="1417"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3259438.00 </w:t>
                  </w:r>
                </w:p>
              </w:tc>
              <w:tc>
                <w:tcPr>
                  <w:tcW w:w="1560" w:type="dxa"/>
                  <w:vAlign w:val="center"/>
                </w:tcPr>
                <w:p>
                  <w:pPr>
                    <w:ind w:right="105" w:rightChars="50"/>
                    <w:jc w:val="center"/>
                    <w:rPr>
                      <w:rFonts w:ascii="仿宋" w:hAnsi="仿宋" w:eastAsia="仿宋" w:cs="仿宋"/>
                      <w:color w:val="000000"/>
                      <w:sz w:val="18"/>
                      <w:szCs w:val="18"/>
                    </w:rPr>
                  </w:pPr>
                  <w:r>
                    <w:rPr>
                      <w:rFonts w:ascii="仿宋" w:hAnsi="仿宋" w:eastAsia="仿宋" w:cs="仿宋"/>
                      <w:color w:val="000000"/>
                      <w:sz w:val="18"/>
                      <w:szCs w:val="18"/>
                    </w:rPr>
                    <w:t xml:space="preserve">34599151.00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5" w:type="dxa"/>
                  <w:gridSpan w:val="6"/>
                  <w:vAlign w:val="center"/>
                </w:tcPr>
                <w:p>
                  <w:pPr>
                    <w:jc w:val="center"/>
                    <w:rPr>
                      <w:rFonts w:ascii="仿宋" w:hAnsi="仿宋" w:eastAsia="仿宋" w:cs="仿宋"/>
                      <w:color w:val="000000"/>
                      <w:sz w:val="18"/>
                      <w:szCs w:val="18"/>
                    </w:rPr>
                  </w:pPr>
                  <w:r>
                    <w:rPr>
                      <w:rFonts w:hint="eastAsia" w:ascii="仿宋" w:hAnsi="仿宋" w:eastAsia="仿宋" w:cs="宋体"/>
                      <w:sz w:val="18"/>
                      <w:szCs w:val="18"/>
                    </w:rPr>
                    <w:t>标高范围：+2</w:t>
                  </w:r>
                  <w:r>
                    <w:rPr>
                      <w:rFonts w:ascii="仿宋" w:hAnsi="仿宋" w:eastAsia="仿宋" w:cs="宋体"/>
                      <w:sz w:val="18"/>
                      <w:szCs w:val="18"/>
                    </w:rPr>
                    <w:t>717</w:t>
                  </w:r>
                  <w:r>
                    <w:rPr>
                      <w:rFonts w:hint="eastAsia" w:ascii="仿宋" w:hAnsi="仿宋" w:eastAsia="仿宋" w:cs="宋体"/>
                      <w:sz w:val="18"/>
                      <w:szCs w:val="18"/>
                    </w:rPr>
                    <w:t>～+21</w:t>
                  </w:r>
                  <w:r>
                    <w:rPr>
                      <w:rFonts w:ascii="仿宋" w:hAnsi="仿宋" w:eastAsia="仿宋" w:cs="宋体"/>
                      <w:sz w:val="18"/>
                      <w:szCs w:val="18"/>
                    </w:rPr>
                    <w:t>60</w:t>
                  </w:r>
                  <w:r>
                    <w:rPr>
                      <w:rFonts w:hint="eastAsia" w:ascii="仿宋" w:hAnsi="仿宋" w:eastAsia="仿宋" w:cs="宋体"/>
                      <w:sz w:val="18"/>
                      <w:szCs w:val="18"/>
                    </w:rPr>
                    <w:t>m；面积：4.28</w:t>
                  </w:r>
                  <w:r>
                    <w:rPr>
                      <w:rFonts w:ascii="仿宋" w:hAnsi="仿宋" w:eastAsia="仿宋" w:cs="宋体"/>
                      <w:sz w:val="18"/>
                      <w:szCs w:val="18"/>
                    </w:rPr>
                    <w:t>98</w:t>
                  </w:r>
                  <w:r>
                    <w:rPr>
                      <w:rFonts w:hint="eastAsia" w:ascii="仿宋" w:hAnsi="仿宋" w:eastAsia="仿宋" w:cs="宋体"/>
                      <w:sz w:val="18"/>
                      <w:szCs w:val="18"/>
                    </w:rPr>
                    <w:t>km</w:t>
                  </w:r>
                  <w:r>
                    <w:rPr>
                      <w:rFonts w:hint="eastAsia" w:ascii="仿宋" w:hAnsi="仿宋" w:eastAsia="仿宋" w:cs="宋体"/>
                      <w:sz w:val="18"/>
                      <w:szCs w:val="18"/>
                      <w:vertAlign w:val="superscript"/>
                    </w:rPr>
                    <w:t>2</w:t>
                  </w:r>
                </w:p>
              </w:tc>
            </w:tr>
          </w:tbl>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1285"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编制单位对编制质量的承诺</w:t>
            </w:r>
          </w:p>
        </w:tc>
        <w:tc>
          <w:tcPr>
            <w:tcW w:w="77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p>
            <w:pPr>
              <w:widowControl/>
              <w:ind w:firstLine="360" w:firstLineChars="20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依据采矿权人提交的勘探报告、评审意见、图纸及相关资料，按照行业规范和国家法规，设计内容、深度、质量达到规范要求，真实、准确全面，满足矿产资源开发利用方案编写内容要求，我公司对此承诺负责。</w:t>
            </w:r>
          </w:p>
          <w:p>
            <w:pPr>
              <w:widowControl/>
              <w:jc w:val="left"/>
              <w:textAlignment w:val="center"/>
              <w:rPr>
                <w:rFonts w:ascii="宋体" w:hAnsi="宋体" w:eastAsia="宋体" w:cs="宋体"/>
                <w:color w:val="000000"/>
                <w:kern w:val="0"/>
                <w:sz w:val="18"/>
                <w:szCs w:val="18"/>
                <w:lang w:bidi="ar"/>
              </w:rPr>
            </w:pP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年    月     日</w:t>
            </w:r>
          </w:p>
        </w:tc>
      </w:tr>
      <w:tr>
        <w:tblPrEx>
          <w:tblCellMar>
            <w:top w:w="0" w:type="dxa"/>
            <w:left w:w="108" w:type="dxa"/>
            <w:bottom w:w="0" w:type="dxa"/>
            <w:right w:w="108" w:type="dxa"/>
          </w:tblCellMar>
        </w:tblPrEx>
        <w:trPr>
          <w:trHeight w:val="1198"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采矿权人按矿产资源开发利用方案开采的承诺</w:t>
            </w:r>
          </w:p>
        </w:tc>
        <w:tc>
          <w:tcPr>
            <w:tcW w:w="774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w:t>
            </w:r>
          </w:p>
          <w:p>
            <w:pPr>
              <w:widowControl/>
              <w:jc w:val="left"/>
              <w:textAlignment w:val="center"/>
              <w:rPr>
                <w:rFonts w:ascii="宋体" w:hAnsi="宋体" w:eastAsia="宋体" w:cs="宋体"/>
                <w:color w:val="000000"/>
                <w:kern w:val="0"/>
                <w:sz w:val="18"/>
                <w:szCs w:val="18"/>
                <w:lang w:bidi="ar"/>
              </w:rPr>
            </w:pPr>
          </w:p>
          <w:p>
            <w:pPr>
              <w:widowControl/>
              <w:jc w:val="left"/>
              <w:textAlignment w:val="center"/>
              <w:rPr>
                <w:rFonts w:ascii="宋体" w:hAnsi="宋体" w:eastAsia="宋体" w:cs="宋体"/>
                <w:color w:val="000000"/>
                <w:kern w:val="0"/>
                <w:sz w:val="18"/>
                <w:szCs w:val="18"/>
                <w:lang w:bidi="ar"/>
              </w:rPr>
            </w:pPr>
          </w:p>
          <w:p>
            <w:pPr>
              <w:widowControl/>
              <w:ind w:firstLine="360" w:firstLineChars="200"/>
              <w:jc w:val="left"/>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按照矿产资源开发利用方案中确定的开拓运输系统、采矿方法，合理开发利用矿产资源。在确保安全生产的同时，加强矿区环境保护措施，我公司对此承诺负责。</w:t>
            </w:r>
          </w:p>
          <w:p>
            <w:pPr>
              <w:widowControl/>
              <w:jc w:val="left"/>
              <w:textAlignment w:val="center"/>
              <w:rPr>
                <w:rFonts w:ascii="宋体" w:hAnsi="宋体" w:eastAsia="宋体" w:cs="宋体"/>
                <w:color w:val="000000"/>
                <w:kern w:val="0"/>
                <w:sz w:val="18"/>
                <w:szCs w:val="18"/>
                <w:lang w:bidi="ar"/>
              </w:rPr>
            </w:pPr>
          </w:p>
          <w:p>
            <w:pPr>
              <w:widowControl/>
              <w:jc w:val="left"/>
              <w:textAlignment w:val="center"/>
              <w:rPr>
                <w:rFonts w:ascii="宋体" w:hAnsi="宋体" w:eastAsia="宋体" w:cs="宋体"/>
                <w:color w:val="000000"/>
                <w:kern w:val="0"/>
                <w:sz w:val="18"/>
                <w:szCs w:val="18"/>
                <w:lang w:bidi="ar"/>
              </w:rPr>
            </w:pP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联系人：                      电话：                     年      月      日</w:t>
            </w:r>
          </w:p>
        </w:tc>
      </w:tr>
    </w:tbl>
    <w:p>
      <w:pPr>
        <w:jc w:val="cente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lYzBjYWU2NGY4ZTYwMDU4ZDY4MTc4ZmNlMGY1MDkifQ=="/>
  </w:docVars>
  <w:rsids>
    <w:rsidRoot w:val="008A1112"/>
    <w:rsid w:val="001869EF"/>
    <w:rsid w:val="001D5437"/>
    <w:rsid w:val="001F406F"/>
    <w:rsid w:val="00234649"/>
    <w:rsid w:val="0039469E"/>
    <w:rsid w:val="003D7D71"/>
    <w:rsid w:val="003E310D"/>
    <w:rsid w:val="006F1834"/>
    <w:rsid w:val="00794CFB"/>
    <w:rsid w:val="008A1112"/>
    <w:rsid w:val="008B7D28"/>
    <w:rsid w:val="00900818"/>
    <w:rsid w:val="00993BAF"/>
    <w:rsid w:val="009B49B3"/>
    <w:rsid w:val="009C0193"/>
    <w:rsid w:val="00A16948"/>
    <w:rsid w:val="00AD361F"/>
    <w:rsid w:val="00CA7DA9"/>
    <w:rsid w:val="00D86F09"/>
    <w:rsid w:val="54AF3D73"/>
    <w:rsid w:val="57E6585F"/>
    <w:rsid w:val="5AF06F4E"/>
    <w:rsid w:val="FFBEC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11"/>
    <w:basedOn w:val="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773</Words>
  <Characters>1178</Characters>
  <Lines>10</Lines>
  <Paragraphs>3</Paragraphs>
  <TotalTime>150</TotalTime>
  <ScaleCrop>false</ScaleCrop>
  <LinksUpToDate>false</LinksUpToDate>
  <CharactersWithSpaces>1342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2024-08-12T20:42:00Z</dcterms:created>
  <dc:creator>Administrator</dc:creator>
  <cp:lastModifiedBy>杨怀超</cp:lastModifiedBy>
  <dcterms:modified xsi:type="dcterms:W3CDTF">2024-08-26T14:48:00Z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0D9CBF6FB18B40329E35EE454142570C_12</vt:lpwstr>
  </property>
</Properties>
</file>