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2024年度四川省自然资源厅科研项目（第二批）验收情况表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5"/>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601"/>
        <w:gridCol w:w="3601"/>
        <w:gridCol w:w="4802"/>
        <w:gridCol w:w="1663"/>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一、已通过验收的项目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项目编号</w:t>
            </w:r>
          </w:p>
        </w:tc>
        <w:tc>
          <w:tcPr>
            <w:tcW w:w="127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项目名称</w:t>
            </w:r>
          </w:p>
        </w:tc>
        <w:tc>
          <w:tcPr>
            <w:tcW w:w="170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项目承担单位</w:t>
            </w:r>
          </w:p>
        </w:tc>
        <w:tc>
          <w:tcPr>
            <w:tcW w:w="59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负责人</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KJ-2024-004</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中国式现代化的资源要素保障（四川篇）课题研究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四川省国土整治中心</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四川省国土空间规划研究院</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四川省国土科学技术研究院（四川省卫星应用技术中心）</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四川省地质调查研究院</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刘志彬</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KJ-2024-007</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新时代推进绿色矿山建设 助力四川矿业高质量发展研究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四川省国土空间生态修复与地质灾害防治研究院</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魏鹏</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KJ-2024-015</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四川省自然资源大数据融合共享与应用研究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四川省自然资源厅信息中心</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自然资源部四川基础地理信息中心</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四川省地质调查研究院测绘地理信息中心</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肖鹏飞</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KJ-2024-017</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激励地勘单位、矿山企业和社会资本参与新一轮找矿突破战略行动的创新机制及配套政策研究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四川省综合地质调查研究所</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秦宇龙</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KJ-2024-022</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面向自然资源管理的实景三维应用场景体系建设研究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自然资源部第三地理信息制图院</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四川省国土科学技术研究院（四川省卫星应用技术中心）</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四川省第一地质大队</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中国地质调查局军民融合地质调查中心</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李永鑫</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KJ-2024-023</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国有建设用地收储模式研究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成都市土地储备中心</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成都市金牛城市建设投资经营集团有限公司</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张煜</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KJ-2024-029</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四川省田长制约束和激励机制研究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四川省国土整治中心</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四川师范大学地理与资源科学学院</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杨波</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KJ-2023-3</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川西锂资源低碳高值化开发利用关键技术研究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中国地质科学院矿产综合利用研究所</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西南科技大学</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程仁举</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KJ-2023-4</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桩板拦石墙动力响应机理及优化设计理论研究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西南交通大学</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罗刚</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KJ-2023-6</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基于SAR数据的耕地“非粮化”监测关键技术应用研究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四川省国土科学技术研究院（四川省卫星应用技术中心）</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四川农业大学</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绵阳天仪空间科技有限公司</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葛洁</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KJ-2023-8</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自然资源确权登记三维空间数据表达与可视化技术的研究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旭普云智慧空间信息技术有限公司</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韩光聪</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KJ-2023-11</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基于原位微区分析新技术对攀西地区铅-锌-萤石矿床成矿过程的精细刻画与富集规律研究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成都理工大学</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邹灏</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KJ-2023-12</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强震区泥石流高拦挡坝的漂木堵塞机制与库损效应研究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中国地质调查局成都地质调查中心</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高延超</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KJ-2023-16</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川西北生态示范区建设生态功能区山水林田湖草修复方案设计与国土空间格局优化示范</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四川省地质矿产勘查开发局四0五地质队</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向国萍</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KJ-2023-17</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四川省开发区用地提质增效高质量发展对策研究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四川省国土科学技术研究院（四川省卫星应用技术中心）</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慕楠</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KJ-2023-22</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攀西地区花岗岩风化壳中Ce地球化学特征及其找矿意义</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四川省地质矿产勘查开发局攀西地质队</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中国地质调查局军民融合地质调查中心</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Style w:val="7"/>
                <w:rFonts w:hint="eastAsia" w:ascii="仿宋_GB2312" w:hAnsi="仿宋_GB2312" w:eastAsia="仿宋_GB2312" w:cs="仿宋_GB2312"/>
                <w:color w:val="auto"/>
                <w:sz w:val="24"/>
                <w:szCs w:val="24"/>
                <w:lang w:val="en-US" w:eastAsia="zh-CN" w:bidi="ar"/>
              </w:rPr>
              <w:t>侯谦</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KJ-2023-23</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碳中和背景下川西亚高山区矿山生态修复技术研究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四川省地质工程勘察院集团有限公司</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刘桃</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KJ-2023-25</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黄河上游若尔盖湿地山水林田湖草沙冰一体化保护和修复研究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四川省地质矿产勘查开发局四0五地质队</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成都理工大学</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许向宁</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KJ-2023-36</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强震区特大泥石流防治工程抗磨蚀关键技术研发及应用示范</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四川省华地建设工程有限责任公司</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杨涛</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KJ-2023-41</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新型大深度高分辨率被动源地震方法在深部找矿中的应用研究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四川省冶金地质勘查院</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肖扬</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KJ-2023-45</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GIS与BIM的在线乡村规划设计系统研制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四川省地质矿产勘查开发局测绘队</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常燕敏</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KJ-2023-46</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城市浅层地质结构地球物理精细化探测研究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四川省地质矿产勘查开发局物探队</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余舟</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Kj-2022-13</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川西高原生态服务价值遥感反演研究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西华师范大学</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陈涛</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二、一次验收未通过的项目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序号</w:t>
            </w:r>
          </w:p>
        </w:tc>
        <w:tc>
          <w:tcPr>
            <w:tcW w:w="5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项目编号</w:t>
            </w:r>
          </w:p>
        </w:tc>
        <w:tc>
          <w:tcPr>
            <w:tcW w:w="127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项目名称</w:t>
            </w:r>
          </w:p>
        </w:tc>
        <w:tc>
          <w:tcPr>
            <w:tcW w:w="170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项目承担单位</w:t>
            </w:r>
          </w:p>
        </w:tc>
        <w:tc>
          <w:tcPr>
            <w:tcW w:w="59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负责人</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KJ-2024-019</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宅基地空间置换政策研究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四川省国土整治中心</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南聪强</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未按时提交验收资料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KJ-2024-024</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乡村振兴背景下的耕地复合利用调查与规划对策研究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四川省国土科学技术研究院（四川省卫星应用技术中心）</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王勇</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KJ-2023-20</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川西深部构造热力学机制研究-以康定地热活动区为例</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西南科技大学</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张刚</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27</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KJ-2023-27</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四川省盐源县王家铺子铜矿成矿规律和成矿预测</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四川省冶金地质勘查院</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李金生</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KJ-2023-30</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节理岩体高陡边坡变形破坏特征和变形控制防控技术研究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四川省地质工程勘察院集团有限公司</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刘茂</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KJ-2023-31</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基于地质单元的地质灾害风险精准防控技术与管控模式研究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四川省地质工程勘察院集团有限公司</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宋国虎</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未按时提交验收资料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30</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KJ-2023-40</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生态系统服务效益智慧监测、评估、预警优化集成技术研发与应用</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四川省地质矿产勘查开发局四0五地质队</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刘涛</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Kj-2022-1</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露天矿山高陡边坡生态修复关键技术研发</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四川省国土空间生态修复与地质灾害防治研究院</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四川大学</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魏鹏</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32</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Kj-2022-33</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川南高县-珙县地区上二叠统煤系气赋存规律及综合勘探开发技术研究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四川省能投油气勘探开发有限公司</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杜林徽</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33</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Kj-2022-34</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川南古蔺复式背斜五峰-龙马溪组页岩气储层裂缝表征与富集研究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四川省能投油气勘探开发有限公司</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贺英</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32"/>
                <w:szCs w:val="32"/>
                <w:vertAlign w:val="baseline"/>
                <w:lang w:val="en-US" w:eastAsia="zh-CN"/>
              </w:rPr>
              <w:t>三、两次验收未通过的项目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34</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KJ-2023-10</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自然资源“空天地”一体化智慧动态监测监管研究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四川格锐乾图科技有限公司</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中国科学院地理科学与资源研究所</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李文平</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35</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KJ-2023-14</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建设用地项目征地实施监管对策研究-以高速公路项目为例</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四川省不动产登记中心（四川省地政地籍事务中心）</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杨敏</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sz w:val="32"/>
                <w:szCs w:val="32"/>
                <w:vertAlign w:val="baseline"/>
                <w:lang w:val="en-US" w:eastAsia="zh-CN"/>
              </w:rPr>
              <w:t>四、终止项目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KJ-2023-34</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四川盆地东北缘红层山区巨型旋转滑移-拉裂型岩质古滑坡形成机理及防治对策研究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中冶成都勘察研究总院有限公司</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赵勇</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33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37</w:t>
            </w:r>
          </w:p>
        </w:tc>
        <w:tc>
          <w:tcPr>
            <w:tcW w:w="56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KJ-2023-44</w:t>
            </w:r>
          </w:p>
        </w:tc>
        <w:tc>
          <w:tcPr>
            <w:tcW w:w="1278"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基于新型污染物的耕地质量调查与评价研究</w:t>
            </w:r>
          </w:p>
        </w:tc>
        <w:tc>
          <w:tcPr>
            <w:tcW w:w="170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四川省地质矿产勘查开发局攀西地质队</w:t>
            </w:r>
          </w:p>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四川省农业科学院农业资源与环境研究所</w:t>
            </w:r>
          </w:p>
        </w:tc>
        <w:tc>
          <w:tcPr>
            <w:tcW w:w="59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张熙</w:t>
            </w:r>
          </w:p>
        </w:tc>
        <w:tc>
          <w:tcPr>
            <w:tcW w:w="5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D2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next w:val="2"/>
    <w:uiPriority w:val="0"/>
    <w:pPr>
      <w:pBdr>
        <w:bottom w:val="single" w:color="auto" w:sz="6" w:space="1"/>
      </w:pBdr>
      <w:tabs>
        <w:tab w:val="center" w:pos="4153"/>
        <w:tab w:val="right" w:pos="8306"/>
      </w:tabs>
      <w:snapToGrid w:val="0"/>
      <w:jc w:val="center"/>
    </w:pPr>
    <w:rPr>
      <w:sz w:val="18"/>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2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2025-09-15T08:59:09Z</dcterms:created>
  <dc:creator>Administrator</dc:creator>
  <cp:lastModifiedBy>Administrator</cp:lastModifiedBy>
  <dcterms:modified xsi:type="dcterms:W3CDTF">2025-09-15T08:59:27Z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107849050104411494AF624293DCE10F</vt:lpwstr>
  </property>
</Properties>
</file>