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kern w:val="0"/>
          <w:sz w:val="36"/>
          <w:szCs w:val="36"/>
          <w:u w:val="none"/>
        </w:rPr>
      </w:pPr>
      <w:bookmarkStart w:id="0" w:name="_Hlk107389591"/>
      <w:r>
        <w:rPr>
          <w:rFonts w:hint="eastAsia" w:ascii="黑体" w:hAnsi="黑体" w:eastAsia="黑体"/>
          <w:kern w:val="0"/>
          <w:sz w:val="36"/>
          <w:szCs w:val="36"/>
          <w:u w:val="none"/>
        </w:rPr>
        <w:t>附件1</w:t>
      </w:r>
    </w:p>
    <w:p>
      <w:pPr>
        <w:overflowPunct w:val="0"/>
        <w:adjustRightInd w:val="0"/>
        <w:snapToGrid w:val="0"/>
        <w:spacing w:line="594" w:lineRule="exact"/>
        <w:jc w:val="center"/>
        <w:rPr>
          <w:rFonts w:eastAsia="方正小标宋简体"/>
          <w:bCs/>
          <w:kern w:val="0"/>
          <w:sz w:val="44"/>
          <w:szCs w:val="44"/>
          <w:u w:val="none"/>
        </w:rPr>
      </w:pPr>
    </w:p>
    <w:p>
      <w:pPr>
        <w:overflowPunct w:val="0"/>
        <w:adjustRightInd w:val="0"/>
        <w:snapToGrid w:val="0"/>
        <w:spacing w:line="594" w:lineRule="exact"/>
        <w:jc w:val="center"/>
        <w:rPr>
          <w:rFonts w:hint="eastAsia" w:eastAsia="方正小标宋简体"/>
          <w:bCs/>
          <w:kern w:val="0"/>
          <w:sz w:val="44"/>
          <w:szCs w:val="44"/>
          <w:u w:val="none"/>
        </w:rPr>
      </w:pPr>
      <w:r>
        <w:rPr>
          <w:rFonts w:hint="eastAsia" w:eastAsia="方正小标宋简体"/>
          <w:bCs/>
          <w:kern w:val="0"/>
          <w:sz w:val="44"/>
          <w:szCs w:val="44"/>
          <w:u w:val="none"/>
        </w:rPr>
        <w:t>四川省城乡规划编制单位</w:t>
      </w:r>
    </w:p>
    <w:p>
      <w:pPr>
        <w:overflowPunct w:val="0"/>
        <w:adjustRightInd w:val="0"/>
        <w:snapToGrid w:val="0"/>
        <w:spacing w:line="594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乙级资质认定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办事指南</w:t>
      </w:r>
    </w:p>
    <w:bookmarkEnd w:id="0"/>
    <w:p>
      <w:pPr>
        <w:overflowPunct w:val="0"/>
        <w:adjustRightInd w:val="0"/>
        <w:snapToGrid w:val="0"/>
        <w:spacing w:line="594" w:lineRule="exact"/>
        <w:ind w:firstLine="420" w:firstLineChars="200"/>
        <w:rPr>
          <w:rFonts w:eastAsia="仿宋_GB2312"/>
          <w:kern w:val="0"/>
          <w:szCs w:val="32"/>
          <w:u w:val="none"/>
        </w:rPr>
      </w:pP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一、事项名称</w:t>
      </w:r>
    </w:p>
    <w:p>
      <w:pPr>
        <w:overflowPunct w:val="0"/>
        <w:adjustRightInd w:val="0"/>
        <w:snapToGrid w:val="0"/>
        <w:spacing w:line="594" w:lineRule="exact"/>
        <w:ind w:left="627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城乡规划编制单位资质认定（乙级）行政许可事项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二、审批依据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《中华人民共和国城乡规划法》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《城乡规划编制单位资质管理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自然资源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部令第1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号）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三、申请条件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（一）有法人资格；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）专业技术人员不少于2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人，其中具有城乡规划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土地规划管理相关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专业高级技术职称的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人，道路交通、给水排水、建筑、电力电信、燃气热力、地理、风景园林、生态环境、经济、地理信息、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海洋、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测绘、林草、地质相关专业高级技术职称的总人数不少于2人；具有城乡规划、土地规划管理相关专业中级技术职称的分别不少于1人，共不少于5人；具有其他专业中级技术职称的不少于10人，其中具有道路交通、给水排水、建筑、电力电信、燃气热力、地理、风景园林、生态环境、经济、地理信息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海洋、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测绘、林草、地质相关专业中级技术职称的总人数不少于5人；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）注册规划师不少于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人；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）具备符合业务要求的计算机图形输入输出设备；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）有200平方米以上的固定工作场所，以及完善的技术、质量、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安全、保密、档案、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财务管理制度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"/>
        </w:rPr>
        <w:t>;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）可以聘用70周岁以下的退休高级职称技术人员或者注册城乡规划师，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人数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不超过1人。隶属于高等院校的规划编制单位，专职技术人员不得低于技术人员总数的70%；其他规划编制单位的专业技术人员应当全部为本单位专职人员。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四、申请材料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设立、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延续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变更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1.城乡规划编制单位资质申请表；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2.法人资格证明材料；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3.法定代表人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的身份证明、任职文件；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技术负责人的身份证明、任职文件、学历证书、职称证书等；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.专业技术人员的身份证明、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学历证书、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职称证书、劳动合同、申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前连续3个月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在本单位缴纳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社会保险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记录（唯一社保）、退休证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等；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.注册规划师的执业资格证明；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.工作场所租赁合同或不动产权证；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.城乡规划编制单位乙级资质认定告知承诺书。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（二）注销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</w:rPr>
        <w:t>资质证书注销申请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  <w:lang w:eastAsia="zh-CN"/>
        </w:rPr>
        <w:t>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10101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城乡规划编制单位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乙级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资质证书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（原件）；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法人资格证明材料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五、办事流程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（一）提交申请</w:t>
      </w:r>
    </w:p>
    <w:p>
      <w:pPr>
        <w:widowControl/>
        <w:overflowPunct w:val="0"/>
        <w:adjustRightInd w:val="0"/>
        <w:snapToGrid w:val="0"/>
        <w:spacing w:line="594" w:lineRule="exact"/>
        <w:ind w:firstLine="640" w:firstLineChars="200"/>
        <w:rPr>
          <w:rFonts w:eastAsia="仿宋_GB2312"/>
          <w:kern w:val="0"/>
          <w:sz w:val="32"/>
          <w:szCs w:val="32"/>
          <w:u w:val="none"/>
        </w:rPr>
      </w:pPr>
      <w:r>
        <w:rPr>
          <w:rFonts w:hint="eastAsia" w:eastAsia="仿宋_GB2312"/>
          <w:kern w:val="0"/>
          <w:sz w:val="32"/>
          <w:szCs w:val="32"/>
          <w:u w:val="none"/>
        </w:rPr>
        <w:t>通过四川政务服务网提交申请材料，或直接到四川省政务服务和资源交易服务中心自然资源厅窗口申报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。</w:t>
      </w:r>
      <w:r>
        <w:rPr>
          <w:rFonts w:hint="eastAsia" w:eastAsia="仿宋_GB2312"/>
          <w:kern w:val="0"/>
          <w:sz w:val="32"/>
          <w:szCs w:val="32"/>
          <w:u w:val="none"/>
        </w:rPr>
        <w:t>因填报内容较多，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建议</w:t>
      </w:r>
      <w:r>
        <w:rPr>
          <w:rFonts w:hint="eastAsia" w:eastAsia="仿宋_GB2312"/>
          <w:kern w:val="0"/>
          <w:sz w:val="32"/>
          <w:szCs w:val="32"/>
          <w:u w:val="none"/>
        </w:rPr>
        <w:t>申请单位尽可能</w:t>
      </w:r>
      <w:r>
        <w:rPr>
          <w:rFonts w:hint="eastAsia" w:eastAsia="仿宋_GB2312"/>
          <w:kern w:val="0"/>
          <w:sz w:val="32"/>
          <w:szCs w:val="32"/>
          <w:u w:val="none"/>
          <w:lang w:eastAsia="zh-CN"/>
        </w:rPr>
        <w:t>通过</w:t>
      </w:r>
      <w:r>
        <w:rPr>
          <w:rFonts w:hint="eastAsia" w:eastAsia="仿宋_GB2312"/>
          <w:kern w:val="0"/>
          <w:sz w:val="32"/>
          <w:szCs w:val="32"/>
          <w:u w:val="none"/>
        </w:rPr>
        <w:t>四川政务服务网在线申报。</w:t>
      </w:r>
    </w:p>
    <w:p>
      <w:pPr>
        <w:widowControl/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（二）受理审核认定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对材料齐全、符合认定条件的申请单位，在受理后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个工作日内按要求进行审查并作出审批决定。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申请材料不符合要求且可以通过补正达到要求的，将通过四川政务服务网向申请人发送《申请材料补正告知书》，申请单位可通过四川政务服务网进行补正。经补正仍不符合要求的，作出不通过决定，并通过四川政务服务网告知申请人。</w:t>
      </w:r>
    </w:p>
    <w:p>
      <w:pPr>
        <w:widowControl/>
        <w:shd w:val="clear" w:color="auto" w:fill="FFFFFF"/>
        <w:spacing w:line="600" w:lineRule="atLeast"/>
        <w:ind w:firstLine="640"/>
        <w:rPr>
          <w:rFonts w:ascii="仿宋" w:hAnsi="仿宋" w:cs="仿宋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（三）公告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经审查满足认定条件的，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在作出通过资质认定决定后的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个工作日内发放资质证书，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相关信息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批次在自然资源厅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门户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网站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公告，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接受社会监督。资质证书可当场或通过邮寄方式领取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eastAsia="zh-CN"/>
        </w:rPr>
        <w:t>属于申请注销的，完成内部审核后，在厅门户网站公告注销。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六、办理时间、地点及联系方式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（一）办理时间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工作日（上午：9:00</w:t>
      </w:r>
      <w:bookmarkStart w:id="1" w:name="FunCunProofread34261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—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12：00；下午：13:00</w:t>
      </w:r>
      <w:bookmarkStart w:id="2" w:name="FunCunProofread34411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—</w:t>
      </w:r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17:00）。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（二）现场办理地点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成都市青羊区草市街2号四川省政务服务和资源交易服务中心自然资源厅窗口。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（三）网上办事大厅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四川政务服务网：www.sczwfw.gov.cn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u w:val="none"/>
        </w:rPr>
        <w:t>（四）联系方式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1.业务咨询电话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四川省政务服务和资源交易服务中心自然资源厅窗口：028-869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18263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四川省自然资源厅：028-87036130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2.投诉电话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四川省行政效能投诉电话：12345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四川省政府政务服务和公共资源交易服务中心：028-86936179</w:t>
      </w:r>
    </w:p>
    <w:p>
      <w:pPr>
        <w:overflowPunct w:val="0"/>
        <w:adjustRightInd w:val="0"/>
        <w:snapToGrid w:val="0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四川省自然资源厅：028-87036162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2026-01-15T07:15:31Z</dcterms:created>
  <dc:creator>Administrator</dc:creator>
  <cp:lastModifiedBy>Administrator</cp:lastModifiedBy>
  <dcterms:modified xsi:type="dcterms:W3CDTF">2026-01-15T07:17:46Z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E1CF462290604292857F1D64D81DC7F4</vt:lpwstr>
  </property>
</Properties>
</file>