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spacing w:beforeLines="0" w:afterLines="0" w:line="600" w:lineRule="exact"/>
        <w:ind w:firstLine="0" w:firstLineChars="0"/>
        <w:jc w:val="left"/>
        <w:rPr>
          <w:rFonts w:hint="eastAsia" w:ascii="Times New Roman" w:hAnsi="Times New Roman" w:eastAsia="黑体" w:cs="黑体"/>
          <w:b w:val="0"/>
          <w:bCs w:val="0"/>
          <w:color w:val="auto"/>
          <w:spacing w:val="0"/>
          <w:w w:val="100"/>
          <w:kern w:val="0"/>
          <w:sz w:val="32"/>
          <w:szCs w:val="32"/>
          <w:lang w:val="en-US" w:eastAsia="zh-CN"/>
        </w:rPr>
      </w:pPr>
      <w:bookmarkStart w:id="0" w:name="_GoBack"/>
      <w:r>
        <w:rPr>
          <w:rFonts w:hint="eastAsia" w:ascii="Times New Roman" w:hAnsi="Times New Roman" w:eastAsia="黑体" w:cs="黑体"/>
          <w:b w:val="0"/>
          <w:bCs w:val="0"/>
          <w:color w:val="auto"/>
          <w:spacing w:val="0"/>
          <w:w w:val="100"/>
          <w:kern w:val="0"/>
          <w:sz w:val="32"/>
          <w:szCs w:val="32"/>
          <w:lang w:val="en-US" w:eastAsia="zh-CN"/>
        </w:rPr>
        <w:t>附件1</w:t>
      </w:r>
    </w:p>
    <w:p>
      <w:pPr>
        <w:pStyle w:val="2"/>
        <w:rPr>
          <w:rFonts w:hint="default" w:ascii="Times New Roman" w:hAnsi="Times New Roman"/>
          <w:lang w:val="en-US" w:eastAsia="zh-CN"/>
        </w:rPr>
      </w:pPr>
    </w:p>
    <w:p>
      <w:pPr>
        <w:keepNext w:val="0"/>
        <w:keepLines w:val="0"/>
        <w:pageBreakBefore w:val="0"/>
        <w:widowControl w:val="0"/>
        <w:kinsoku/>
        <w:wordWrap/>
        <w:overflowPunct w:val="0"/>
        <w:topLinePunct w:val="0"/>
        <w:autoSpaceDE w:val="0"/>
        <w:autoSpaceDN/>
        <w:bidi w:val="0"/>
        <w:adjustRightInd/>
        <w:snapToGrid/>
        <w:spacing w:beforeLines="0" w:afterLines="0" w:line="600" w:lineRule="exact"/>
        <w:ind w:firstLine="0" w:firstLineChars="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待验收项目清单</w:t>
      </w:r>
    </w:p>
    <w:bookmarkEnd w:id="0"/>
    <w:p>
      <w:pPr>
        <w:keepNext w:val="0"/>
        <w:keepLines w:val="0"/>
        <w:pageBreakBefore w:val="0"/>
        <w:widowControl w:val="0"/>
        <w:kinsoku/>
        <w:wordWrap/>
        <w:overflowPunct w:val="0"/>
        <w:topLinePunct w:val="0"/>
        <w:autoSpaceDE w:val="0"/>
        <w:autoSpaceDN/>
        <w:bidi w:val="0"/>
        <w:adjustRightInd/>
        <w:snapToGrid/>
        <w:spacing w:beforeLines="0" w:afterLines="0" w:line="600" w:lineRule="exact"/>
        <w:ind w:firstLine="0" w:firstLineChars="0"/>
        <w:jc w:val="center"/>
        <w:textAlignment w:val="auto"/>
        <w:rPr>
          <w:rFonts w:hint="eastAsia" w:ascii="Times New Roman" w:hAnsi="Times New Roman" w:eastAsia="方正小标宋简体" w:cs="方正小标宋简体"/>
          <w:sz w:val="44"/>
          <w:szCs w:val="44"/>
          <w:lang w:val="en-US" w:eastAsia="zh-CN"/>
        </w:rPr>
      </w:pPr>
    </w:p>
    <w:tbl>
      <w:tblPr>
        <w:tblStyle w:val="5"/>
        <w:tblW w:w="50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2"/>
        <w:gridCol w:w="2359"/>
        <w:gridCol w:w="4542"/>
        <w:gridCol w:w="4663"/>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409"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序号</w:t>
            </w:r>
          </w:p>
        </w:tc>
        <w:tc>
          <w:tcPr>
            <w:tcW w:w="81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项目编号</w:t>
            </w:r>
          </w:p>
        </w:tc>
        <w:tc>
          <w:tcPr>
            <w:tcW w:w="1571"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项目名称</w:t>
            </w:r>
          </w:p>
        </w:tc>
        <w:tc>
          <w:tcPr>
            <w:tcW w:w="161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项目承担单位</w:t>
            </w:r>
          </w:p>
        </w:tc>
        <w:tc>
          <w:tcPr>
            <w:tcW w:w="588"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KJ-2024-001</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山区县城地质安全评价模型及其综合整治对策研究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四川省自然资源勘察设计集团有限公司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张雄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KJ-2024-002</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基于实景三维自然资源管理体系研究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四川省地质调查研究院测绘地理信息中心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曾渝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3</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KJ-2024-003</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地质灾害气象风险预警机制深化研究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四川省国土空间生态修复与地质灾害防治研究院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肖智林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4</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KJ-2024-005</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攀西钒钛产业发展战略研究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四川省钒钛产业投资发展有限公司</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四川省天府矿业投资有限责任公司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尹显龙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5</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KJ-2024-006</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突发性地质灾害应急技术支撑工作机制研究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四川省地质环境调查研究中心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伍剑波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6</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KJ-2024-009</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自然资源领域生态环境损害司法鉴定现状和需求研究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四川省地质调查研究院</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四川省国土空间生态修复与地质灾害防治研究院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冯志明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7</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KJ-2024-010</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四川省战略性矿产基地建设研究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四川省地质调查研究院</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四川省自然资源投资集团有限责任公司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刘荣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8</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KJ-2024-012</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自然资源领域推动新质生产力研究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四川省地质调查研究院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邓霜岭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9</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KJ-2024-013</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四川省自然资源新型智库体系建设研究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四川省国土科学技术研究院（四川省卫星应用技术中心）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胡绍永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KJ-2024-018</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四川黄河上游山水林田湖草沙一体化保护修复路径、机制与对策研究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四川省第二地质大队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莫少鹏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11</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KJ-2024-019</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宅基地空间置换政策研究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四川省国土整治中心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南聪强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12</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KJ-2024-020</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建设占用耕地耕作层土壤剥离再利用技术规范研究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四川省国土整治中心</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电子科技大学</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成都市土地整治和生态修复中心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李军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13</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KJ-2024-021</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四川省生态安全屏障区生态保护修复综合评估技术研究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四川省国土整治中心</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pacing w:val="-6"/>
                <w:kern w:val="0"/>
                <w:sz w:val="28"/>
                <w:szCs w:val="28"/>
                <w:u w:val="none"/>
                <w:lang w:val="en-US" w:eastAsia="zh-CN" w:bidi="ar"/>
              </w:rPr>
            </w:pPr>
            <w:r>
              <w:rPr>
                <w:rFonts w:hint="eastAsia" w:ascii="Times New Roman" w:hAnsi="Times New Roman" w:eastAsia="宋体" w:cs="宋体"/>
                <w:i w:val="0"/>
                <w:iCs w:val="0"/>
                <w:color w:val="000000"/>
                <w:spacing w:val="-6"/>
                <w:kern w:val="0"/>
                <w:sz w:val="28"/>
                <w:szCs w:val="28"/>
                <w:u w:val="none"/>
                <w:lang w:val="en-US" w:eastAsia="zh-CN" w:bidi="ar"/>
              </w:rPr>
              <w:t>中国科学院、水利部成都山地灾害与环境研究所</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成都市土地整治和生态修复中心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赵涛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14</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KJ-2024-024</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乡村振兴背景下的耕地复合利用调查与规划对策研究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四川省国土科学技术研究院（四川省卫星应用技术中心）</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王勇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KJ-2024-025</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四川省地热产业高质量发展政策研究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四川省第一地质大队</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成都理工大学</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胡亚召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16</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KJ-2024-026</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四川省耕地多功能的时空演变及分区优化</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四川省国土整治中心</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西华师范大学地理科学学院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谢川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17</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KJ-2024-027</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四川省地勘单位存量资产盘活思路及激励约束政策研究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四川省地质调查研究院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欧建强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18</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KJ-2024-028</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spacing w:val="-6"/>
                <w:kern w:val="0"/>
                <w:sz w:val="28"/>
                <w:szCs w:val="28"/>
                <w:u w:val="none"/>
                <w:lang w:val="en-US" w:eastAsia="zh-CN" w:bidi="ar"/>
              </w:rPr>
              <w:t>地勘单位探矿权盘活存在问题及解决对策研究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四川省地质调查研究院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喻廷旭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19</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KJ-2024-031</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激励地勘单位参与新一轮找矿突破战略行动的创新机制研究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四川省第三地质大队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杨元良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8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KJ-2024-032</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西南山区崩滑流引发链生灾害应急响应机制及其应急处置对策研究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四川省第二地质大队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杨华阳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21</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KJ-2024-033</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四川省国有企事业单位存量土地资产管理及盘活利用的研究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四川省土地发展集团有限责任公司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何渝宏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22</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KJ-2024-035</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乡村振兴背景下的耕地保护和土地利用现状调查研究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四川省自然资源测绘地理信息有限责任公司</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湘潭大学</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周涛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23</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KJ-2023-20</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川西深部构造热力学机制研究-以康定地热活动区为例</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西南科技大学</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张刚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24</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KJ-2023-27</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四川省盐源县王家铺子铜矿成矿规律和成矿预测</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四川省冶金地质勘查院</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李金生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25</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KJ-2023-28</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基于智能算法的四川盆地典型低山丘陵区降雨型滑坡短临预警数字模型研究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四川省地质矿产勘查开发局区域地质调查队</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西南交通大学</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宋忠友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26</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KJ-2023-30</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节理岩体高陡边坡变形破坏特征和变形控制防控技术研究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四川省地质工程勘察院集团有限公司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刘茂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27</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KJ-2023-31</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基于地质单元的地质灾害风险精准防控技术与管控模式研究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四川省地质工程勘察院集团有限公司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宋国虎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28</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KJ-2023-40</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生态系统服务效益智慧监测、评估、预警优化集成技术研发与应用</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四川省地质矿产勘查开发局四0五地质队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刘涛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29</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Kj-2022-1</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spacing w:val="0"/>
                <w:kern w:val="0"/>
                <w:sz w:val="28"/>
                <w:szCs w:val="28"/>
                <w:u w:val="none"/>
                <w:lang w:val="en-US" w:eastAsia="zh-CN" w:bidi="ar"/>
              </w:rPr>
              <w:t>露天矿山高陡边坡生态修复关键技术研发</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kern w:val="0"/>
                <w:sz w:val="28"/>
                <w:szCs w:val="28"/>
                <w:u w:val="none"/>
                <w:lang w:val="en-US" w:eastAsia="zh-CN" w:bidi="ar"/>
              </w:rPr>
            </w:pPr>
            <w:r>
              <w:rPr>
                <w:rFonts w:hint="eastAsia" w:ascii="Times New Roman" w:hAnsi="Times New Roman" w:eastAsia="宋体" w:cs="宋体"/>
                <w:i w:val="0"/>
                <w:iCs w:val="0"/>
                <w:color w:val="000000"/>
                <w:kern w:val="0"/>
                <w:sz w:val="28"/>
                <w:szCs w:val="28"/>
                <w:u w:val="none"/>
                <w:lang w:val="en-US" w:eastAsia="zh-CN" w:bidi="ar"/>
              </w:rPr>
              <w:t>四川省国土空间生态修复与地质灾害防治研究院</w:t>
            </w:r>
          </w:p>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四川大学</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魏鹏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30</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Kj-2022-33</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川南高县-珙县地区上二叠统煤系气赋存规律及综合勘探开发技术研究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四川省能投油气勘探开发有限公司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杜林徽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val="0"/>
              <w:autoSpaceDN/>
              <w:bidi w:val="0"/>
              <w:adjustRightInd/>
              <w:snapToGrid/>
              <w:spacing w:line="34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31</w:t>
            </w:r>
          </w:p>
        </w:tc>
        <w:tc>
          <w:tcPr>
            <w:tcW w:w="8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N/>
              <w:bidi w:val="0"/>
              <w:adjustRightInd/>
              <w:snapToGrid/>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Kj-2022-34</w:t>
            </w:r>
          </w:p>
        </w:tc>
        <w:tc>
          <w:tcPr>
            <w:tcW w:w="4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川南古蔺复式背斜五峰-龙马溪组页岩气储层裂缝表征与富集研究</w:t>
            </w:r>
          </w:p>
        </w:tc>
        <w:tc>
          <w:tcPr>
            <w:tcW w:w="4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四川省能投油气勘探开发有限公司</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贺英</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97F2C17"/>
    <w:rsid w:val="13FA579D"/>
    <w:rsid w:val="997F2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firstLineChars="200"/>
    </w:pPr>
    <w:rPr>
      <w:rFonts w:ascii="宋体" w:hAnsi="宋体"/>
      <w:color w:val="000000"/>
      <w:sz w:val="28"/>
      <w:szCs w:val="28"/>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2026-01-21T16:03:00Z</dcterms:created>
  <dcterms:modified xsi:type="dcterms:W3CDTF">2026-01-21T09:00:56Z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70D78070E5A54D0F8B31016A391C2A68</vt:lpwstr>
  </property>
</Properties>
</file>