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2016"/>
        </w:tabs>
        <w:adjustRightInd w:val="0"/>
        <w:snapToGrid w:val="0"/>
        <w:spacing w:after="0" w:line="560" w:lineRule="exact"/>
        <w:rPr>
          <w:rFonts w:hint="default" w:ascii="Times New Roman" w:hAnsi="Times New Roman" w:eastAsia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t>1</w:t>
      </w:r>
    </w:p>
    <w:p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hint="eastAsia" w:ascii="Times New Roman" w:hAnsi="Times New Roman" w:eastAsia="方正仿宋_GBK"/>
        </w:rPr>
      </w:pPr>
    </w:p>
    <w:p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hint="eastAsia" w:ascii="Times New Roman" w:hAnsi="Times New Roman" w:eastAsia="方正仿宋_GBK"/>
        </w:rPr>
      </w:pPr>
    </w:p>
    <w:p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hint="eastAsia" w:ascii="Times New Roman" w:hAnsi="Times New Roman" w:eastAsia="方正仿宋_GBK"/>
        </w:rPr>
      </w:pPr>
    </w:p>
    <w:p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hint="eastAsia" w:ascii="Times New Roman" w:hAnsi="Times New Roman" w:eastAsia="方正仿宋_GBK"/>
          <w:sz w:val="36"/>
          <w:szCs w:val="36"/>
        </w:rPr>
      </w:pPr>
      <w:r>
        <w:rPr>
          <w:rFonts w:hint="eastAsia" w:ascii="Times New Roman" w:hAnsi="Times New Roman" w:eastAsia="方正仿宋_GBK"/>
          <w:sz w:val="36"/>
          <w:szCs w:val="36"/>
        </w:rPr>
        <w:t>资阳市城区</w:t>
      </w:r>
      <w:r>
        <w:rPr>
          <w:rFonts w:ascii="Times New Roman" w:hAnsi="Times New Roman" w:eastAsia="方正仿宋_GBK"/>
          <w:sz w:val="36"/>
          <w:szCs w:val="36"/>
        </w:rPr>
        <w:t>2020</w:t>
      </w:r>
      <w:r>
        <w:rPr>
          <w:rFonts w:hint="eastAsia" w:ascii="Times New Roman" w:hAnsi="Times New Roman" w:eastAsia="方正仿宋_GBK"/>
          <w:sz w:val="36"/>
          <w:szCs w:val="36"/>
        </w:rPr>
        <w:t>年基准地价一览表</w:t>
      </w:r>
    </w:p>
    <w:p>
      <w:pPr>
        <w:pStyle w:val="2"/>
      </w:pPr>
    </w:p>
    <w:tbl>
      <w:tblPr>
        <w:tblStyle w:val="3"/>
        <w:tblW w:w="489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425"/>
        <w:gridCol w:w="1043"/>
        <w:gridCol w:w="1043"/>
        <w:gridCol w:w="1043"/>
        <w:gridCol w:w="1045"/>
        <w:gridCol w:w="10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8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szCs w:val="21"/>
              </w:rPr>
              <w:t>用途</w:t>
            </w:r>
            <w:r>
              <w:rPr>
                <w:rFonts w:ascii="Times New Roman" w:hAnsi="Times New Roman" w:eastAsia="方正仿宋_GBK" w:cs="宋体"/>
                <w:szCs w:val="21"/>
              </w:rPr>
              <w:t xml:space="preserve">                 </w:t>
            </w:r>
            <w:r>
              <w:rPr>
                <w:rFonts w:hint="eastAsia" w:ascii="Times New Roman" w:hAnsi="Times New Roman" w:eastAsia="方正仿宋_GBK" w:cs="宋体"/>
                <w:szCs w:val="21"/>
              </w:rPr>
              <w:t>级别</w:t>
            </w:r>
          </w:p>
        </w:tc>
        <w:tc>
          <w:tcPr>
            <w:tcW w:w="6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szCs w:val="21"/>
              </w:rPr>
              <w:t>Ⅰ级</w:t>
            </w:r>
          </w:p>
        </w:tc>
        <w:tc>
          <w:tcPr>
            <w:tcW w:w="6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szCs w:val="21"/>
              </w:rPr>
              <w:t>Ⅱ级</w:t>
            </w:r>
          </w:p>
        </w:tc>
        <w:tc>
          <w:tcPr>
            <w:tcW w:w="6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szCs w:val="21"/>
              </w:rPr>
              <w:t>Ⅲ级</w:t>
            </w:r>
          </w:p>
        </w:tc>
        <w:tc>
          <w:tcPr>
            <w:tcW w:w="6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szCs w:val="21"/>
              </w:rPr>
              <w:t>Ⅳ级</w:t>
            </w:r>
          </w:p>
        </w:tc>
        <w:tc>
          <w:tcPr>
            <w:tcW w:w="6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szCs w:val="21"/>
              </w:rPr>
              <w:t>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01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szCs w:val="21"/>
              </w:rPr>
              <w:t>商服用地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szCs w:val="21"/>
              </w:rPr>
              <w:t>元</w:t>
            </w:r>
            <w:r>
              <w:rPr>
                <w:rFonts w:ascii="Times New Roman" w:hAnsi="Times New Roman" w:eastAsia="方正仿宋_GBK" w:cs="宋体"/>
                <w:szCs w:val="21"/>
              </w:rPr>
              <w:t>/</w:t>
            </w:r>
            <w:r>
              <w:rPr>
                <w:rFonts w:hint="eastAsia" w:ascii="Times New Roman" w:hAnsi="Times New Roman" w:eastAsia="方正仿宋_GBK" w:cs="宋体"/>
                <w:szCs w:val="21"/>
              </w:rPr>
              <w:t>平方米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3420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2355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1725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1305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01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szCs w:val="21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szCs w:val="21"/>
              </w:rPr>
              <w:t>万元</w:t>
            </w:r>
            <w:r>
              <w:rPr>
                <w:rFonts w:ascii="Times New Roman" w:hAnsi="Times New Roman" w:eastAsia="方正仿宋_GBK" w:cs="宋体"/>
                <w:szCs w:val="21"/>
              </w:rPr>
              <w:t>/</w:t>
            </w:r>
            <w:r>
              <w:rPr>
                <w:rFonts w:hint="eastAsia" w:ascii="Times New Roman" w:hAnsi="Times New Roman" w:eastAsia="方正仿宋_GBK" w:cs="宋体"/>
                <w:szCs w:val="21"/>
              </w:rPr>
              <w:t>亩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228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157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115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87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1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szCs w:val="21"/>
              </w:rPr>
              <w:t>住宅用地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szCs w:val="21"/>
              </w:rPr>
              <w:t>元</w:t>
            </w:r>
            <w:r>
              <w:rPr>
                <w:rFonts w:ascii="Times New Roman" w:hAnsi="Times New Roman" w:eastAsia="方正仿宋_GBK" w:cs="宋体"/>
                <w:szCs w:val="21"/>
              </w:rPr>
              <w:t>/</w:t>
            </w:r>
            <w:r>
              <w:rPr>
                <w:rFonts w:hint="eastAsia" w:ascii="Times New Roman" w:hAnsi="Times New Roman" w:eastAsia="方正仿宋_GBK" w:cs="宋体"/>
                <w:szCs w:val="21"/>
              </w:rPr>
              <w:t>平方米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2715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2325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1710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990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1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szCs w:val="21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szCs w:val="21"/>
              </w:rPr>
              <w:t>万元</w:t>
            </w:r>
            <w:r>
              <w:rPr>
                <w:rFonts w:ascii="Times New Roman" w:hAnsi="Times New Roman" w:eastAsia="方正仿宋_GBK" w:cs="宋体"/>
                <w:szCs w:val="21"/>
              </w:rPr>
              <w:t>/</w:t>
            </w:r>
            <w:r>
              <w:rPr>
                <w:rFonts w:hint="eastAsia" w:ascii="Times New Roman" w:hAnsi="Times New Roman" w:eastAsia="方正仿宋_GBK" w:cs="宋体"/>
                <w:szCs w:val="21"/>
              </w:rPr>
              <w:t>亩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181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155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114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66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1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宋体"/>
                <w:szCs w:val="21"/>
                <w:lang w:eastAsia="zh-CN"/>
              </w:rPr>
              <w:t>公共管理与公共服务设施用地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szCs w:val="21"/>
              </w:rPr>
              <w:t>元</w:t>
            </w:r>
            <w:r>
              <w:rPr>
                <w:rFonts w:ascii="Times New Roman" w:hAnsi="Times New Roman" w:eastAsia="方正仿宋_GBK" w:cs="宋体"/>
                <w:szCs w:val="21"/>
              </w:rPr>
              <w:t>/</w:t>
            </w:r>
            <w:r>
              <w:rPr>
                <w:rFonts w:hint="eastAsia" w:ascii="Times New Roman" w:hAnsi="Times New Roman" w:eastAsia="方正仿宋_GBK" w:cs="宋体"/>
                <w:szCs w:val="21"/>
              </w:rPr>
              <w:t>平方米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1290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1020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705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525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01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szCs w:val="21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szCs w:val="21"/>
              </w:rPr>
              <w:t>万元</w:t>
            </w:r>
            <w:r>
              <w:rPr>
                <w:rFonts w:ascii="Times New Roman" w:hAnsi="Times New Roman" w:eastAsia="方正仿宋_GBK" w:cs="宋体"/>
                <w:szCs w:val="21"/>
              </w:rPr>
              <w:t>/</w:t>
            </w:r>
            <w:r>
              <w:rPr>
                <w:rFonts w:hint="eastAsia" w:ascii="Times New Roman" w:hAnsi="Times New Roman" w:eastAsia="方正仿宋_GBK" w:cs="宋体"/>
                <w:szCs w:val="21"/>
              </w:rPr>
              <w:t>亩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86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68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47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35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01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szCs w:val="21"/>
              </w:rPr>
              <w:t>工业用地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szCs w:val="21"/>
              </w:rPr>
              <w:t>元</w:t>
            </w:r>
            <w:r>
              <w:rPr>
                <w:rFonts w:ascii="Times New Roman" w:hAnsi="Times New Roman" w:eastAsia="方正仿宋_GBK" w:cs="宋体"/>
                <w:szCs w:val="21"/>
              </w:rPr>
              <w:t>/</w:t>
            </w:r>
            <w:r>
              <w:rPr>
                <w:rFonts w:hint="eastAsia" w:ascii="Times New Roman" w:hAnsi="Times New Roman" w:eastAsia="方正仿宋_GBK" w:cs="宋体"/>
                <w:szCs w:val="21"/>
              </w:rPr>
              <w:t>平方米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285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195</w:t>
            </w:r>
          </w:p>
        </w:tc>
        <w:tc>
          <w:tcPr>
            <w:tcW w:w="1881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szCs w:val="21"/>
              </w:rPr>
            </w:pPr>
            <w:r>
              <w:rPr>
                <w:rFonts w:ascii="Times New Roman" w:hAnsi="Times New Roman" w:eastAsia="方正仿宋_GBK" w:cs="宋体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1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szCs w:val="21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szCs w:val="21"/>
              </w:rPr>
              <w:t>万元</w:t>
            </w:r>
            <w:r>
              <w:rPr>
                <w:rFonts w:ascii="Times New Roman" w:hAnsi="Times New Roman" w:eastAsia="方正仿宋_GBK" w:cs="宋体"/>
                <w:szCs w:val="21"/>
              </w:rPr>
              <w:t>/</w:t>
            </w:r>
            <w:r>
              <w:rPr>
                <w:rFonts w:hint="eastAsia" w:ascii="Times New Roman" w:hAnsi="Times New Roman" w:eastAsia="方正仿宋_GBK" w:cs="宋体"/>
                <w:szCs w:val="21"/>
              </w:rPr>
              <w:t>亩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19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13</w:t>
            </w:r>
          </w:p>
        </w:tc>
        <w:tc>
          <w:tcPr>
            <w:tcW w:w="1881" w:type="pct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320" w:lineRule="exact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  <w:lang w:eastAsia="zh-CN"/>
              </w:rPr>
              <w:t>基准地价内涵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ind w:firstLine="300" w:firstLineChars="15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Times New Roman" w:hAnsi="Times New Roman" w:eastAsia="方正仿宋_GBK"/>
                <w:sz w:val="20"/>
                <w:szCs w:val="20"/>
                <w:lang w:eastAsia="zh-CN"/>
              </w:rPr>
              <w:t>、估价期日：</w:t>
            </w:r>
            <w:r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  <w:t>2020</w:t>
            </w:r>
            <w:r>
              <w:rPr>
                <w:rFonts w:hint="eastAsia" w:ascii="Times New Roman" w:hAnsi="Times New Roman" w:eastAsia="方正仿宋_GBK"/>
                <w:sz w:val="20"/>
                <w:szCs w:val="20"/>
                <w:lang w:eastAsia="zh-CN"/>
              </w:rPr>
              <w:t>年</w:t>
            </w:r>
            <w:r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Times New Roman" w:hAnsi="Times New Roman" w:eastAsia="方正仿宋_GBK"/>
                <w:sz w:val="20"/>
                <w:szCs w:val="20"/>
                <w:lang w:eastAsia="zh-CN"/>
              </w:rPr>
              <w:t>月</w:t>
            </w:r>
            <w:r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Times New Roman" w:hAnsi="Times New Roman" w:eastAsia="方正仿宋_GBK"/>
                <w:sz w:val="20"/>
                <w:szCs w:val="20"/>
                <w:lang w:eastAsia="zh-CN"/>
              </w:rPr>
              <w:t>日；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ind w:firstLine="300" w:firstLineChars="15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  <w:t>2</w:t>
            </w:r>
            <w:r>
              <w:rPr>
                <w:rFonts w:hint="eastAsia" w:ascii="Times New Roman" w:hAnsi="Times New Roman" w:eastAsia="方正仿宋_GBK"/>
                <w:sz w:val="20"/>
                <w:szCs w:val="20"/>
                <w:lang w:eastAsia="zh-CN"/>
              </w:rPr>
              <w:t>、土地使用年期：商服用地</w:t>
            </w:r>
            <w:r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  <w:t>40</w:t>
            </w:r>
            <w:r>
              <w:rPr>
                <w:rFonts w:hint="eastAsia" w:ascii="Times New Roman" w:hAnsi="Times New Roman" w:eastAsia="方正仿宋_GBK"/>
                <w:sz w:val="20"/>
                <w:szCs w:val="20"/>
                <w:lang w:eastAsia="zh-CN"/>
              </w:rPr>
              <w:t>年、住宅用地</w:t>
            </w:r>
            <w:r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  <w:t>70</w:t>
            </w:r>
            <w:r>
              <w:rPr>
                <w:rFonts w:hint="eastAsia" w:ascii="Times New Roman" w:hAnsi="Times New Roman" w:eastAsia="方正仿宋_GBK"/>
                <w:sz w:val="20"/>
                <w:szCs w:val="20"/>
                <w:lang w:eastAsia="zh-CN"/>
              </w:rPr>
              <w:t>年、工业用地</w:t>
            </w:r>
            <w:r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  <w:t>50</w:t>
            </w:r>
            <w:r>
              <w:rPr>
                <w:rFonts w:hint="eastAsia" w:ascii="Times New Roman" w:hAnsi="Times New Roman" w:eastAsia="方正仿宋_GBK"/>
                <w:sz w:val="20"/>
                <w:szCs w:val="20"/>
                <w:lang w:eastAsia="zh-CN"/>
              </w:rPr>
              <w:t>年、公共管理与公共服务用地</w:t>
            </w:r>
            <w:r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  <w:t>50</w:t>
            </w:r>
            <w:r>
              <w:rPr>
                <w:rFonts w:hint="eastAsia" w:ascii="Times New Roman" w:hAnsi="Times New Roman" w:eastAsia="方正仿宋_GBK"/>
                <w:sz w:val="20"/>
                <w:szCs w:val="20"/>
                <w:lang w:eastAsia="zh-CN"/>
              </w:rPr>
              <w:t>年；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ind w:firstLine="300" w:firstLineChars="15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  <w:t>3</w:t>
            </w:r>
            <w:r>
              <w:rPr>
                <w:rFonts w:hint="eastAsia" w:ascii="Times New Roman" w:hAnsi="Times New Roman" w:eastAsia="方正仿宋_GBK"/>
                <w:sz w:val="20"/>
                <w:szCs w:val="20"/>
                <w:lang w:eastAsia="zh-CN"/>
              </w:rPr>
              <w:t>、容积率：商服用地</w:t>
            </w:r>
            <w:r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  <w:t>2.0</w:t>
            </w:r>
            <w:r>
              <w:rPr>
                <w:rFonts w:hint="eastAsia" w:ascii="Times New Roman" w:hAnsi="Times New Roman" w:eastAsia="方正仿宋_GBK"/>
                <w:sz w:val="20"/>
                <w:szCs w:val="20"/>
                <w:lang w:eastAsia="zh-CN"/>
              </w:rPr>
              <w:t>、住宅用地</w:t>
            </w:r>
            <w:r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  <w:t>2.0</w:t>
            </w:r>
            <w:r>
              <w:rPr>
                <w:rFonts w:hint="eastAsia" w:ascii="Times New Roman" w:hAnsi="Times New Roman" w:eastAsia="方正仿宋_GBK"/>
                <w:sz w:val="20"/>
                <w:szCs w:val="20"/>
                <w:lang w:eastAsia="zh-CN"/>
              </w:rPr>
              <w:t>、工业用地</w:t>
            </w:r>
            <w:r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  <w:t>1.0</w:t>
            </w:r>
            <w:r>
              <w:rPr>
                <w:rFonts w:hint="eastAsia" w:ascii="Times New Roman" w:hAnsi="Times New Roman" w:eastAsia="方正仿宋_GBK"/>
                <w:sz w:val="20"/>
                <w:szCs w:val="20"/>
                <w:lang w:eastAsia="zh-CN"/>
              </w:rPr>
              <w:t>、公共管理与公共服务用地</w:t>
            </w:r>
            <w:r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  <w:t>1.0</w:t>
            </w:r>
            <w:r>
              <w:rPr>
                <w:rFonts w:hint="eastAsia" w:ascii="Times New Roman" w:hAnsi="Times New Roman" w:eastAsia="方正仿宋_GBK"/>
                <w:sz w:val="20"/>
                <w:szCs w:val="20"/>
                <w:lang w:eastAsia="zh-CN"/>
              </w:rPr>
              <w:t>；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ind w:firstLine="300" w:firstLineChars="15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  <w:t>4</w:t>
            </w:r>
            <w:r>
              <w:rPr>
                <w:rFonts w:hint="eastAsia" w:ascii="Times New Roman" w:hAnsi="Times New Roman" w:eastAsia="方正仿宋_GBK"/>
                <w:sz w:val="20"/>
                <w:szCs w:val="20"/>
                <w:lang w:eastAsia="zh-CN"/>
              </w:rPr>
              <w:t>、开发程度：商服用地、住宅用地、公共管理与公共服务设施用地宗地外“六通”（通上水、通下水、通电、通路、通气、通讯）、宗地内“场平”；工业用地宗地外“三通”（通上下水、通电、通路）、宗地内“场平”；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ind w:firstLine="300" w:firstLineChars="15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  <w:t>5</w:t>
            </w:r>
            <w:r>
              <w:rPr>
                <w:rFonts w:hint="eastAsia" w:ascii="Times New Roman" w:hAnsi="Times New Roman" w:eastAsia="方正仿宋_GBK"/>
                <w:sz w:val="20"/>
                <w:szCs w:val="20"/>
                <w:lang w:eastAsia="zh-CN"/>
              </w:rPr>
              <w:t>、权利状况：出让土地使用权，无他项权利限制（符合相关法律法规约定）。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ind w:firstLine="300" w:firstLineChars="15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  <w:t>6</w:t>
            </w:r>
            <w:r>
              <w:rPr>
                <w:rFonts w:hint="eastAsia" w:ascii="Times New Roman" w:hAnsi="Times New Roman" w:eastAsia="方正仿宋_GBK"/>
                <w:sz w:val="20"/>
                <w:szCs w:val="20"/>
                <w:lang w:eastAsia="zh-CN"/>
              </w:rPr>
              <w:t>、工业限制区Ⅰ价格参照工业一级价格，工业限制区Ⅱ价格参照工业二级价格。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7B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 w:line="240" w:lineRule="auto"/>
    </w:pPr>
    <w:rPr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2022-08-04T01:13:24Z</dcterms:created>
  <dc:creator>Administrator</dc:creator>
  <cp:lastModifiedBy>Administrator</cp:lastModifiedBy>
  <dcterms:modified xsi:type="dcterms:W3CDTF">2022-08-04T01:13:30Z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