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016"/>
        </w:tabs>
        <w:adjustRightInd w:val="0"/>
        <w:snapToGrid w:val="0"/>
        <w:spacing w:after="0" w:line="560" w:lineRule="exact"/>
        <w:rPr>
          <w:rFonts w:hint="default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hint="eastAsia" w:ascii="Times New Roman" w:hAnsi="Times New Roman" w:eastAsia="方正仿宋_GBK"/>
          <w:sz w:val="36"/>
          <w:szCs w:val="36"/>
          <w:lang w:eastAsia="zh-CN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资阳市城区商服用地土地级别范围表</w:t>
      </w:r>
    </w:p>
    <w:tbl>
      <w:tblPr>
        <w:tblStyle w:val="5"/>
        <w:tblW w:w="5000" w:type="pct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4556"/>
        <w:gridCol w:w="1759"/>
        <w:gridCol w:w="1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</w:t>
            </w:r>
          </w:p>
        </w:tc>
        <w:tc>
          <w:tcPr>
            <w:tcW w:w="26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土地级别范围</w:t>
            </w:r>
          </w:p>
        </w:tc>
        <w:tc>
          <w:tcPr>
            <w:tcW w:w="10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级别面积（公顷）</w:t>
            </w:r>
          </w:p>
        </w:tc>
        <w:tc>
          <w:tcPr>
            <w:tcW w:w="10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面积比例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Ⅰ</w:t>
            </w:r>
          </w:p>
        </w:tc>
        <w:tc>
          <w:tcPr>
            <w:tcW w:w="26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东至：车城大道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南至：娇子大道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娇子大道南一巷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皇龙路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西至：槐树东路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北至：万达广场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狮子路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东至：建设东路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南至：城南西街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师园街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西至：晶鑫街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骏兴路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北至：建设北路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273.29 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1.51%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Ⅱ</w:t>
            </w:r>
          </w:p>
        </w:tc>
        <w:tc>
          <w:tcPr>
            <w:tcW w:w="2608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东至：宝台大道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字库山公园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泥河西路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南至：城南大道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书台路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西至：大千路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外环路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北至：花果山路</w:t>
            </w:r>
          </w:p>
        </w:tc>
        <w:tc>
          <w:tcPr>
            <w:tcW w:w="10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3455.40</w:t>
            </w:r>
          </w:p>
        </w:tc>
        <w:tc>
          <w:tcPr>
            <w:tcW w:w="10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17.39%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东至：雁栖湖东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南至：车城大道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西至：老鹰中学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北至：成资大道</w:t>
            </w:r>
          </w:p>
        </w:tc>
        <w:tc>
          <w:tcPr>
            <w:tcW w:w="10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Ⅲ</w:t>
            </w:r>
          </w:p>
        </w:tc>
        <w:tc>
          <w:tcPr>
            <w:tcW w:w="26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东至：成资大道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南至：兴城大道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兴旺路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天台路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城南大街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西至：成渝高速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北至：九曲河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建设西路北段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凤岭公园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沱江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6284.39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34.64%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南至：三贤路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西至：老鹰中学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北至：成自高铁以南道路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区域三：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三草湾北部片区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</w:tc>
        <w:tc>
          <w:tcPr>
            <w:tcW w:w="1007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Ⅳ</w:t>
            </w: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东至：建设西路北段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九曲印象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九曲河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5374.02</w:t>
            </w:r>
          </w:p>
        </w:tc>
        <w:tc>
          <w:tcPr>
            <w:tcW w:w="105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29.63%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南至：三贤路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西至：老鹰中学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成资大道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东至：成资大道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南至：遂资眉高速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碧江大街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0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西至：成渝高速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北至：兴城大道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兴旺路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天台路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城南大街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区域三：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6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成渝高速以西（除一二级以外区域）</w:t>
            </w:r>
          </w:p>
        </w:tc>
        <w:tc>
          <w:tcPr>
            <w:tcW w:w="10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Ⅴ</w:t>
            </w:r>
          </w:p>
        </w:tc>
        <w:tc>
          <w:tcPr>
            <w:tcW w:w="2608" w:type="pct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Ⅳ级之外，定级范围之内的区域</w:t>
            </w:r>
          </w:p>
        </w:tc>
        <w:tc>
          <w:tcPr>
            <w:tcW w:w="10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3055.50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16.84%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合计</w:t>
            </w:r>
          </w:p>
        </w:tc>
        <w:tc>
          <w:tcPr>
            <w:tcW w:w="10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18142.61</w:t>
            </w:r>
          </w:p>
        </w:tc>
        <w:tc>
          <w:tcPr>
            <w:tcW w:w="10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100%</w:t>
            </w:r>
          </w:p>
        </w:tc>
      </w:tr>
    </w:tbl>
    <w:p>
      <w:pPr>
        <w:pStyle w:val="7"/>
        <w:widowControl w:val="0"/>
        <w:adjustRightInd w:val="0"/>
        <w:snapToGrid w:val="0"/>
        <w:spacing w:after="0" w:line="240" w:lineRule="auto"/>
        <w:ind w:firstLine="0" w:firstLineChars="0"/>
        <w:rPr>
          <w:rFonts w:ascii="Times New Roman" w:hAnsi="Times New Roman" w:eastAsia="方正仿宋_GBK"/>
          <w:sz w:val="18"/>
          <w:szCs w:val="18"/>
          <w:lang w:eastAsia="zh-CN"/>
        </w:rPr>
      </w:pP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具体范围以资阳市商服用地基准地价图（</w:t>
      </w:r>
      <w:r>
        <w:rPr>
          <w:rFonts w:hint="eastAsia" w:ascii="Times New Roman" w:hAnsi="Times New Roman" w:eastAsia="方正仿宋_GBK" w:cs="Times New Roman"/>
          <w:kern w:val="0"/>
          <w:sz w:val="18"/>
          <w:szCs w:val="18"/>
          <w:lang w:val="en-US" w:eastAsia="zh-CN" w:bidi="ar-SA"/>
        </w:rPr>
        <w:t>送审</w:t>
      </w: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稿）为准</w:t>
      </w:r>
    </w:p>
    <w:p>
      <w:pPr>
        <w:widowControl w:val="0"/>
        <w:adjustRightInd w:val="0"/>
        <w:snapToGrid w:val="0"/>
        <w:spacing w:after="0"/>
        <w:ind w:firstLine="520" w:firstLineChars="200"/>
        <w:jc w:val="center"/>
        <w:rPr>
          <w:rFonts w:ascii="Times New Roman" w:hAnsi="Times New Roman" w:eastAsia="方正仿宋_GBK"/>
          <w:sz w:val="26"/>
          <w:szCs w:val="26"/>
          <w:lang w:eastAsia="zh-CN"/>
        </w:rPr>
        <w:sectPr>
          <w:pgSz w:w="11906" w:h="16838"/>
          <w:pgMar w:top="1418" w:right="1622" w:bottom="1418" w:left="1559" w:header="851" w:footer="992" w:gutter="0"/>
          <w:cols w:space="720" w:num="1"/>
          <w:docGrid w:linePitch="312" w:charSpace="0"/>
        </w:sectPr>
      </w:pP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ind w:firstLine="720" w:firstLineChars="200"/>
        <w:jc w:val="center"/>
        <w:rPr>
          <w:rFonts w:ascii="Times New Roman" w:hAnsi="Times New Roman" w:eastAsia="方正仿宋_GBK"/>
          <w:lang w:eastAsia="zh-CN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资阳市城区住宅用地土地级别范围表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885"/>
        <w:gridCol w:w="1990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</w:t>
            </w:r>
          </w:p>
        </w:tc>
        <w:tc>
          <w:tcPr>
            <w:tcW w:w="2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土地级别范围</w:t>
            </w:r>
          </w:p>
        </w:tc>
        <w:tc>
          <w:tcPr>
            <w:tcW w:w="11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级别面积（公顷）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面积比例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Ⅰ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东至：宝台大道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字库山公园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泥河西路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1677.34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9.25%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南至：康乐路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仁德西路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南骏大道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沱江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西至：万达华府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车苑小区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jc w:val="both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北至：车城大道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成渝铁路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雷音大桥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Ⅱ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东至：成资大道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7286.65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40.16%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南至：兴城大道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兴旺路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天台路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城南大街</w:t>
            </w:r>
          </w:p>
        </w:tc>
        <w:tc>
          <w:tcPr>
            <w:tcW w:w="11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北至：九曲河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建设西路北段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凤岭公园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沱江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雁栖湖片区近期开发建设区域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区域三：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三草湾北部片区</w:t>
            </w:r>
          </w:p>
        </w:tc>
        <w:tc>
          <w:tcPr>
            <w:tcW w:w="11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Ⅲ</w:t>
            </w:r>
          </w:p>
        </w:tc>
        <w:tc>
          <w:tcPr>
            <w:tcW w:w="27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</w:tc>
        <w:tc>
          <w:tcPr>
            <w:tcW w:w="1113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东至：成资大道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6123.36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33.75%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南至：遂资眉高速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碧江大街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73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北至：兴城大道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兴旺路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天台路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城南大街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732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东至：建设西路北段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南至：九曲河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外环路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三贤路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732" w:type="pct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北至：成资大道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73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区域三：成渝高速以西（除二级以外区域）</w:t>
            </w:r>
          </w:p>
        </w:tc>
        <w:tc>
          <w:tcPr>
            <w:tcW w:w="11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7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Ⅳ</w:t>
            </w:r>
          </w:p>
        </w:tc>
        <w:tc>
          <w:tcPr>
            <w:tcW w:w="2732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Ⅲ级之外，定级范围之内的区域</w:t>
            </w:r>
          </w:p>
        </w:tc>
        <w:tc>
          <w:tcPr>
            <w:tcW w:w="11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3055.26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16.84%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合计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18142.61</w:t>
            </w: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100%</w:t>
            </w:r>
          </w:p>
        </w:tc>
      </w:tr>
    </w:tbl>
    <w:p>
      <w:pPr>
        <w:pStyle w:val="7"/>
        <w:widowControl w:val="0"/>
        <w:adjustRightInd w:val="0"/>
        <w:snapToGrid w:val="0"/>
        <w:spacing w:after="0" w:line="240" w:lineRule="auto"/>
        <w:ind w:firstLine="0" w:firstLineChars="0"/>
        <w:rPr>
          <w:rFonts w:ascii="Times New Roman" w:hAnsi="Times New Roman" w:eastAsia="方正仿宋_GBK"/>
          <w:sz w:val="18"/>
          <w:szCs w:val="18"/>
          <w:lang w:eastAsia="zh-CN"/>
        </w:rPr>
      </w:pP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具体范围以资阳市住宅用地基准地价图（</w:t>
      </w:r>
      <w:r>
        <w:rPr>
          <w:rFonts w:hint="eastAsia" w:ascii="Times New Roman" w:hAnsi="Times New Roman" w:eastAsia="方正仿宋_GBK" w:cs="Times New Roman"/>
          <w:kern w:val="0"/>
          <w:sz w:val="18"/>
          <w:szCs w:val="18"/>
          <w:lang w:val="en-US" w:eastAsia="zh-CN" w:bidi="ar-SA"/>
        </w:rPr>
        <w:t>送审</w:t>
      </w: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稿）为准</w:t>
      </w:r>
    </w:p>
    <w:p>
      <w:pPr>
        <w:widowControl w:val="0"/>
        <w:adjustRightInd w:val="0"/>
        <w:snapToGrid w:val="0"/>
        <w:spacing w:after="0"/>
        <w:ind w:firstLine="520" w:firstLineChars="200"/>
        <w:jc w:val="center"/>
        <w:rPr>
          <w:rFonts w:ascii="Times New Roman" w:hAnsi="Times New Roman"/>
          <w:sz w:val="26"/>
          <w:szCs w:val="26"/>
          <w:lang w:eastAsia="zh-CN"/>
        </w:rPr>
      </w:pPr>
    </w:p>
    <w:p>
      <w:pPr>
        <w:spacing w:after="0"/>
        <w:rPr>
          <w:rFonts w:ascii="Times New Roman" w:hAnsi="Times New Roman"/>
          <w:lang w:eastAsia="zh-CN"/>
        </w:rPr>
      </w:pP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ind w:firstLine="440" w:firstLineChars="200"/>
        <w:jc w:val="center"/>
        <w:rPr>
          <w:rFonts w:ascii="Times New Roman" w:hAnsi="Times New Roman"/>
          <w:lang w:eastAsia="zh-CN"/>
        </w:rPr>
      </w:pP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ind w:firstLine="440" w:firstLineChars="200"/>
        <w:jc w:val="center"/>
        <w:rPr>
          <w:rFonts w:ascii="Times New Roman" w:hAnsi="Times New Roman" w:eastAsia="方正仿宋_GBK"/>
          <w:lang w:eastAsia="zh-CN"/>
        </w:rPr>
        <w:sectPr>
          <w:pgSz w:w="11906" w:h="16838"/>
          <w:pgMar w:top="1418" w:right="1622" w:bottom="1418" w:left="1559" w:header="851" w:footer="992" w:gutter="0"/>
          <w:cols w:space="720" w:num="1"/>
          <w:docGrid w:linePitch="312" w:charSpace="0"/>
        </w:sectPr>
      </w:pP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ind w:firstLine="720" w:firstLineChars="200"/>
        <w:jc w:val="center"/>
        <w:rPr>
          <w:rFonts w:ascii="Times New Roman" w:hAnsi="Times New Roman" w:eastAsia="方正仿宋_GBK"/>
          <w:lang w:eastAsia="zh-CN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资阳市城区工业用地土地级别范围表</w:t>
      </w:r>
    </w:p>
    <w:tbl>
      <w:tblPr>
        <w:tblStyle w:val="5"/>
        <w:tblW w:w="5018" w:type="pc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943"/>
        <w:gridCol w:w="2469"/>
        <w:gridCol w:w="2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</w:t>
            </w:r>
          </w:p>
        </w:tc>
        <w:tc>
          <w:tcPr>
            <w:tcW w:w="1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土地级别范围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级别面积（公顷）</w:t>
            </w:r>
          </w:p>
        </w:tc>
        <w:tc>
          <w:tcPr>
            <w:tcW w:w="1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面积比例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sz w:val="20"/>
                <w:szCs w:val="20"/>
              </w:rPr>
              <w:t>Ⅰ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</w:tc>
        <w:tc>
          <w:tcPr>
            <w:tcW w:w="1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1124.04</w:t>
            </w:r>
          </w:p>
        </w:tc>
        <w:tc>
          <w:tcPr>
            <w:tcW w:w="11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6.20%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城南工业园、侯家坪工业园</w:t>
            </w:r>
          </w:p>
        </w:tc>
        <w:tc>
          <w:tcPr>
            <w:tcW w:w="1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沱东片区工业用地</w:t>
            </w:r>
          </w:p>
        </w:tc>
        <w:tc>
          <w:tcPr>
            <w:tcW w:w="1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8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区域三：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幸福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马鞍片区工业用地</w:t>
            </w:r>
          </w:p>
        </w:tc>
        <w:tc>
          <w:tcPr>
            <w:tcW w:w="1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sz w:val="20"/>
                <w:szCs w:val="20"/>
              </w:rPr>
              <w:t>Ⅱ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80" w:lineRule="exact"/>
              <w:textAlignment w:val="center"/>
              <w:rPr>
                <w:rFonts w:ascii="Times New Roman" w:eastAsia="方正仿宋_GBK" w:cs="Arial"/>
                <w:sz w:val="36"/>
                <w:szCs w:val="36"/>
              </w:rPr>
            </w:pPr>
            <w:r>
              <w:rPr>
                <w:rFonts w:hint="eastAsia" w:ascii="Times New Roman" w:eastAsia="方正仿宋_GBK" w:cs="Arial"/>
                <w:color w:val="000000"/>
                <w:kern w:val="24"/>
                <w:sz w:val="20"/>
                <w:szCs w:val="20"/>
              </w:rPr>
              <w:t>区域一：清泉片区工业用地</w:t>
            </w:r>
          </w:p>
        </w:tc>
        <w:tc>
          <w:tcPr>
            <w:tcW w:w="137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1858.29</w:t>
            </w:r>
          </w:p>
        </w:tc>
        <w:tc>
          <w:tcPr>
            <w:tcW w:w="11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10.24%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80" w:lineRule="exact"/>
              <w:textAlignment w:val="center"/>
              <w:rPr>
                <w:rFonts w:ascii="Times New Roman" w:eastAsia="方正仿宋_GBK" w:cs="Arial"/>
                <w:b/>
                <w:sz w:val="36"/>
                <w:szCs w:val="36"/>
              </w:rPr>
            </w:pPr>
            <w:r>
              <w:rPr>
                <w:rFonts w:hint="eastAsia" w:ascii="Times New Roman" w:eastAsia="方正仿宋_GBK" w:cs="Arial"/>
                <w:color w:val="000000"/>
                <w:kern w:val="24"/>
                <w:sz w:val="20"/>
                <w:szCs w:val="20"/>
              </w:rPr>
              <w:t>区域二：三草湾片区工业用地</w:t>
            </w:r>
          </w:p>
        </w:tc>
        <w:tc>
          <w:tcPr>
            <w:tcW w:w="137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sz w:val="20"/>
                <w:szCs w:val="20"/>
              </w:rPr>
              <w:t>工业限制区一</w:t>
            </w:r>
          </w:p>
        </w:tc>
        <w:tc>
          <w:tcPr>
            <w:tcW w:w="1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东至：定级边界</w:t>
            </w:r>
          </w:p>
        </w:tc>
        <w:tc>
          <w:tcPr>
            <w:tcW w:w="137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9654.51</w:t>
            </w:r>
          </w:p>
        </w:tc>
        <w:tc>
          <w:tcPr>
            <w:tcW w:w="113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53.21%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南至：展望大街</w:t>
            </w:r>
          </w:p>
        </w:tc>
        <w:tc>
          <w:tcPr>
            <w:tcW w:w="13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1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西至：幸福大道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康乐路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书台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成渝铁路</w:t>
            </w:r>
          </w:p>
        </w:tc>
        <w:tc>
          <w:tcPr>
            <w:tcW w:w="13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13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6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北至：成资大道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沱江</w:t>
            </w:r>
          </w:p>
        </w:tc>
        <w:tc>
          <w:tcPr>
            <w:tcW w:w="13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1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宋体"/>
                <w:sz w:val="20"/>
                <w:szCs w:val="20"/>
              </w:rPr>
              <w:t>工业限制区二</w:t>
            </w:r>
          </w:p>
        </w:tc>
        <w:tc>
          <w:tcPr>
            <w:tcW w:w="164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 w:val="20"/>
                <w:szCs w:val="20"/>
                <w:lang w:eastAsia="zh-CN"/>
              </w:rPr>
              <w:t>Ⅰ</w:t>
            </w:r>
            <w:r>
              <w:rPr>
                <w:rFonts w:ascii="Times New Roman" w:hAnsi="Times New Roman" w:eastAsia="方正仿宋_GBK"/>
                <w:kern w:val="2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Times New Roman" w:hAnsi="Times New Roman" w:eastAsia="方正仿宋_GBK"/>
                <w:kern w:val="2"/>
                <w:sz w:val="20"/>
                <w:szCs w:val="20"/>
                <w:lang w:eastAsia="zh-CN"/>
              </w:rPr>
              <w:t>Ⅱ级、工业限制区一之外，</w:t>
            </w:r>
            <w:r>
              <w:rPr>
                <w:rFonts w:ascii="Times New Roman" w:hAnsi="Times New Roman" w:eastAsia="方正仿宋_GBK"/>
                <w:kern w:val="2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_GBK"/>
                <w:kern w:val="2"/>
                <w:sz w:val="20"/>
                <w:szCs w:val="20"/>
                <w:lang w:eastAsia="zh-CN"/>
              </w:rPr>
              <w:t>定级范围之内的区域</w:t>
            </w:r>
          </w:p>
        </w:tc>
        <w:tc>
          <w:tcPr>
            <w:tcW w:w="13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5505.77</w:t>
            </w:r>
          </w:p>
        </w:tc>
        <w:tc>
          <w:tcPr>
            <w:tcW w:w="1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30.35%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合计</w:t>
            </w:r>
          </w:p>
        </w:tc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18142.61</w:t>
            </w:r>
          </w:p>
        </w:tc>
        <w:tc>
          <w:tcPr>
            <w:tcW w:w="1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100%</w:t>
            </w:r>
          </w:p>
        </w:tc>
      </w:tr>
    </w:tbl>
    <w:p>
      <w:pPr>
        <w:pStyle w:val="7"/>
        <w:widowControl w:val="0"/>
        <w:adjustRightInd w:val="0"/>
        <w:snapToGrid w:val="0"/>
        <w:spacing w:after="0" w:line="240" w:lineRule="auto"/>
        <w:ind w:firstLine="0" w:firstLineChars="0"/>
        <w:rPr>
          <w:rFonts w:ascii="Times New Roman" w:hAnsi="Times New Roman" w:eastAsia="方正仿宋_GBK"/>
          <w:sz w:val="18"/>
          <w:szCs w:val="18"/>
          <w:lang w:eastAsia="zh-CN"/>
        </w:rPr>
      </w:pP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具体范围以资阳市工业用地基准地价图（</w:t>
      </w:r>
      <w:r>
        <w:rPr>
          <w:rFonts w:hint="eastAsia" w:ascii="Times New Roman" w:hAnsi="Times New Roman" w:eastAsia="方正仿宋_GBK" w:cs="Times New Roman"/>
          <w:kern w:val="0"/>
          <w:sz w:val="18"/>
          <w:szCs w:val="18"/>
          <w:lang w:val="en-US" w:eastAsia="zh-CN" w:bidi="ar-SA"/>
        </w:rPr>
        <w:t>送审稿</w:t>
      </w: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）为准</w:t>
      </w: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ind w:firstLine="440" w:firstLineChars="200"/>
        <w:jc w:val="center"/>
        <w:rPr>
          <w:rFonts w:ascii="Times New Roman" w:hAnsi="Times New Roman" w:eastAsia="方正仿宋_GBK"/>
          <w:lang w:eastAsia="zh-CN"/>
        </w:rPr>
        <w:sectPr>
          <w:pgSz w:w="11906" w:h="16838"/>
          <w:pgMar w:top="1418" w:right="1622" w:bottom="1418" w:left="1559" w:header="851" w:footer="992" w:gutter="0"/>
          <w:cols w:space="720" w:num="1"/>
          <w:docGrid w:linePitch="312" w:charSpace="0"/>
        </w:sectPr>
      </w:pP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ind w:firstLine="440" w:firstLineChars="200"/>
        <w:jc w:val="center"/>
        <w:rPr>
          <w:rFonts w:ascii="Times New Roman" w:hAnsi="Times New Roman" w:eastAsia="方正仿宋_GBK"/>
          <w:lang w:eastAsia="zh-CN"/>
        </w:rPr>
      </w:pPr>
    </w:p>
    <w:p>
      <w:pPr>
        <w:widowControl w:val="0"/>
        <w:tabs>
          <w:tab w:val="left" w:pos="1859"/>
          <w:tab w:val="center" w:pos="4622"/>
        </w:tabs>
        <w:adjustRightInd w:val="0"/>
        <w:snapToGrid w:val="0"/>
        <w:spacing w:after="0" w:line="240" w:lineRule="auto"/>
        <w:jc w:val="center"/>
        <w:rPr>
          <w:rFonts w:hint="eastAsia" w:ascii="Times New Roman" w:hAnsi="Times New Roman" w:eastAsia="方正仿宋_GBK"/>
          <w:sz w:val="36"/>
          <w:szCs w:val="36"/>
          <w:lang w:eastAsia="zh-CN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资阳市城区公共管理与公共服务用地土地级别范围表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683"/>
        <w:gridCol w:w="1613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</w:t>
            </w:r>
          </w:p>
        </w:tc>
        <w:tc>
          <w:tcPr>
            <w:tcW w:w="26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土地级别范围</w:t>
            </w:r>
          </w:p>
        </w:tc>
        <w:tc>
          <w:tcPr>
            <w:tcW w:w="9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级别面积（公顷）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面积比例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Ⅰ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东至：蜀乡大道</w:t>
            </w:r>
          </w:p>
        </w:tc>
        <w:tc>
          <w:tcPr>
            <w:tcW w:w="9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2858.45</w:t>
            </w:r>
          </w:p>
        </w:tc>
        <w:tc>
          <w:tcPr>
            <w:tcW w:w="10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15.76%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南至：仁德西路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规划道路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锦湾大街</w:t>
            </w: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西至：大千路</w:t>
            </w: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北至：槐树东路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成渝铁路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青年路</w:t>
            </w: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Ⅱ</w:t>
            </w: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东至：滨河东路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成渝铁路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泥河西路</w:t>
            </w:r>
          </w:p>
        </w:tc>
        <w:tc>
          <w:tcPr>
            <w:tcW w:w="9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4019.17</w:t>
            </w:r>
          </w:p>
        </w:tc>
        <w:tc>
          <w:tcPr>
            <w:tcW w:w="104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22.15%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南至：书台路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城南大道</w:t>
            </w: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西至：外环路</w:t>
            </w: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23" w:lineRule="atLeast"/>
              <w:textAlignment w:val="center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北至：花果山路</w:t>
            </w:r>
          </w:p>
        </w:tc>
        <w:tc>
          <w:tcPr>
            <w:tcW w:w="9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Ⅲ</w:t>
            </w:r>
          </w:p>
        </w:tc>
        <w:tc>
          <w:tcPr>
            <w:tcW w:w="26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区域一：</w:t>
            </w:r>
          </w:p>
        </w:tc>
        <w:tc>
          <w:tcPr>
            <w:tcW w:w="98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4703.45</w:t>
            </w:r>
          </w:p>
        </w:tc>
        <w:tc>
          <w:tcPr>
            <w:tcW w:w="104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25.92%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东至：建设西路北段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九曲印象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九曲河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1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南至：三贤路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西至：老鹰中学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成资大道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19" w:type="pc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区域二：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东至：成资大道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南至：遂资眉高速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碧江大街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261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西至：成渝高速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exact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26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textAlignment w:val="top"/>
              <w:rPr>
                <w:rFonts w:asci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eastAsia="方正仿宋_GBK"/>
                <w:sz w:val="20"/>
                <w:szCs w:val="20"/>
              </w:rPr>
              <w:t>北至：兴城大道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兴旺路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城南大道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天台路</w:t>
            </w:r>
            <w:r>
              <w:rPr>
                <w:rFonts w:ascii="Times New Roman" w:eastAsia="方正仿宋_GBK"/>
                <w:sz w:val="20"/>
                <w:szCs w:val="20"/>
              </w:rPr>
              <w:t>-</w:t>
            </w:r>
            <w:r>
              <w:rPr>
                <w:rFonts w:hint="eastAsia" w:ascii="Times New Roman" w:eastAsia="方正仿宋_GBK"/>
                <w:sz w:val="20"/>
                <w:szCs w:val="20"/>
              </w:rPr>
              <w:t>城南大街</w:t>
            </w:r>
            <w:r>
              <w:rPr>
                <w:rFonts w:ascii="Times New Roman" w:eastAsia="方正仿宋_GBK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  <w:tc>
          <w:tcPr>
            <w:tcW w:w="10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Ⅳ</w:t>
            </w:r>
          </w:p>
        </w:tc>
        <w:tc>
          <w:tcPr>
            <w:tcW w:w="261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Ⅰ</w:t>
            </w:r>
            <w:r>
              <w:rPr>
                <w:rFonts w:ascii="Times New Roman" w:hAnsi="Times New Roman" w:eastAsia="方正仿宋_GBK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Ⅲ级之外，定级范围之内的区域</w:t>
            </w:r>
          </w:p>
        </w:tc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6561.54</w:t>
            </w:r>
          </w:p>
        </w:tc>
        <w:tc>
          <w:tcPr>
            <w:tcW w:w="10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>36.17%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合计</w:t>
            </w:r>
          </w:p>
        </w:tc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18142.61</w:t>
            </w:r>
          </w:p>
        </w:tc>
        <w:tc>
          <w:tcPr>
            <w:tcW w:w="10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100%</w:t>
            </w:r>
          </w:p>
        </w:tc>
      </w:tr>
    </w:tbl>
    <w:p>
      <w:pPr>
        <w:widowControl w:val="0"/>
        <w:adjustRightInd w:val="0"/>
        <w:snapToGrid w:val="0"/>
        <w:spacing w:after="0"/>
        <w:rPr>
          <w:rFonts w:ascii="Times New Roman" w:hAnsi="Times New Roman" w:eastAsia="方正仿宋_GBK"/>
          <w:sz w:val="18"/>
          <w:szCs w:val="18"/>
          <w:lang w:eastAsia="zh-CN"/>
        </w:rPr>
      </w:pPr>
      <w:r>
        <w:rPr>
          <w:rFonts w:hint="eastAsia" w:ascii="Times New Roman" w:hAnsi="Times New Roman" w:eastAsia="方正仿宋_GBK"/>
          <w:sz w:val="18"/>
          <w:szCs w:val="18"/>
          <w:lang w:eastAsia="zh-CN"/>
        </w:rPr>
        <w:t>具体范围以资阳市公共管理与公共服务用地基准地价图（送审稿）为准</w:t>
      </w:r>
    </w:p>
    <w:p>
      <w:r>
        <w:rPr>
          <w:rFonts w:hint="eastAsia" w:ascii="Times New Roman" w:hAnsi="Times New Roman" w:eastAsia="方正黑体_GBK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240" w:lineRule="auto"/>
    </w:pPr>
    <w:rPr>
      <w:sz w:val="21"/>
      <w:szCs w:val="24"/>
    </w:rPr>
  </w:style>
  <w:style w:type="paragraph" w:styleId="3">
    <w:name w:val="index 6"/>
    <w:basedOn w:val="1"/>
    <w:next w:val="1"/>
    <w:qFormat/>
    <w:uiPriority w:val="99"/>
    <w:pPr>
      <w:ind w:firstLine="630"/>
    </w:pPr>
    <w:rPr>
      <w:rFonts w:ascii="方正黑体_GBK" w:hAnsi="Times New Roman" w:eastAsia="方正黑体_GBK"/>
      <w:sz w:val="32"/>
      <w:szCs w:val="32"/>
    </w:rPr>
  </w:style>
  <w:style w:type="paragraph" w:styleId="4">
    <w:name w:val="Normal (Web)"/>
    <w:basedOn w:val="1"/>
    <w:next w:val="3"/>
    <w:qFormat/>
    <w:uiPriority w:val="99"/>
    <w:pPr>
      <w:widowControl w:val="0"/>
      <w:spacing w:before="100" w:beforeAutospacing="1" w:after="100" w:afterAutospacing="1"/>
    </w:pPr>
    <w:rPr>
      <w:rFonts w:ascii="宋体" w:hAnsi="Times New Roman"/>
      <w:kern w:val="2"/>
      <w:sz w:val="24"/>
      <w:lang w:eastAsia="zh-CN"/>
    </w:rPr>
  </w:style>
  <w:style w:type="paragraph" w:customStyle="1" w:styleId="7">
    <w:name w:val="正文2 Char"/>
    <w:basedOn w:val="1"/>
    <w:qFormat/>
    <w:uiPriority w:val="99"/>
    <w:pPr>
      <w:spacing w:line="360" w:lineRule="auto"/>
      <w:ind w:firstLine="520" w:firstLineChars="200"/>
    </w:pPr>
    <w:rPr>
      <w:rFonts w:ascii="宋体" w:hAnsi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2022-08-04T01:14:37Z</dcterms:created>
  <dc:creator>Administrator</dc:creator>
  <cp:lastModifiedBy>Administrator</cp:lastModifiedBy>
  <dcterms:modified xsi:type="dcterms:W3CDTF">2022-08-04T01:14:40Z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