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016"/>
        </w:tabs>
        <w:adjustRightInd w:val="0"/>
        <w:snapToGrid w:val="0"/>
        <w:spacing w:after="0" w:line="560" w:lineRule="exact"/>
        <w:rPr>
          <w:rFonts w:hint="default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6</w:t>
      </w:r>
    </w:p>
    <w:p>
      <w:pPr>
        <w:widowControl w:val="0"/>
        <w:adjustRightInd w:val="0"/>
        <w:snapToGrid w:val="0"/>
        <w:spacing w:after="0" w:line="240" w:lineRule="atLeast"/>
        <w:jc w:val="center"/>
        <w:rPr>
          <w:rFonts w:hint="eastAsia" w:ascii="Times New Roman" w:hAnsi="Times New Roman" w:eastAsia="方正仿宋_GBK"/>
          <w:sz w:val="36"/>
          <w:szCs w:val="36"/>
          <w:lang w:eastAsia="zh-CN"/>
        </w:rPr>
      </w:pPr>
    </w:p>
    <w:p>
      <w:pPr>
        <w:widowControl w:val="0"/>
        <w:adjustRightInd w:val="0"/>
        <w:snapToGrid w:val="0"/>
        <w:spacing w:after="0" w:line="240" w:lineRule="atLeast"/>
        <w:jc w:val="center"/>
        <w:rPr>
          <w:rFonts w:hint="eastAsia" w:ascii="Times New Roman" w:hAnsi="Times New Roman" w:eastAsia="方正仿宋_GBK"/>
          <w:sz w:val="36"/>
          <w:szCs w:val="36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资阳市本级（含雁江区、高新区、临空区）划拨用地</w:t>
      </w:r>
    </w:p>
    <w:p>
      <w:pPr>
        <w:widowControl w:val="0"/>
        <w:adjustRightInd w:val="0"/>
        <w:snapToGrid w:val="0"/>
        <w:spacing w:after="0" w:line="240" w:lineRule="atLeast"/>
        <w:jc w:val="center"/>
        <w:rPr>
          <w:rFonts w:hint="eastAsia" w:ascii="Times New Roman" w:hAnsi="Times New Roman" w:eastAsia="方正仿宋_GBK"/>
          <w:sz w:val="36"/>
          <w:szCs w:val="36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指导价</w:t>
      </w:r>
    </w:p>
    <w:p>
      <w:pPr>
        <w:widowControl w:val="0"/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widowControl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为切实推进土地资源节约集约利用，充分体现土地价值，适应新形势下土地管理要求，制定资阳市本级（含雁江区、高新区、临空区）划拨用地分类定价标准。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 xml:space="preserve"> </w:t>
      </w:r>
    </w:p>
    <w:p>
      <w:pPr>
        <w:widowControl w:val="0"/>
        <w:adjustRightInd w:val="0"/>
        <w:snapToGrid w:val="0"/>
        <w:spacing w:after="0" w:line="560" w:lineRule="exact"/>
        <w:ind w:firstLine="643" w:firstLineChars="200"/>
        <w:jc w:val="both"/>
        <w:rPr>
          <w:rFonts w:ascii="Times New Roman" w:hAnsi="Times New Roman" w:eastAsia="方正楷体简体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/>
          <w:b/>
          <w:sz w:val="32"/>
          <w:szCs w:val="32"/>
          <w:lang w:eastAsia="zh-CN"/>
        </w:rPr>
        <w:t>（一）适用范围</w:t>
      </w:r>
    </w:p>
    <w:p>
      <w:pPr>
        <w:widowControl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市本级（含雁江区、高新区、临空区）管理范围内，按照《划拨用地目录》实施的划拨用地均实行分类定价。</w:t>
      </w:r>
    </w:p>
    <w:p>
      <w:pPr>
        <w:widowControl w:val="0"/>
        <w:adjustRightInd w:val="0"/>
        <w:snapToGrid w:val="0"/>
        <w:spacing w:after="0" w:line="560" w:lineRule="exact"/>
        <w:ind w:firstLine="643" w:firstLineChars="200"/>
        <w:jc w:val="both"/>
        <w:rPr>
          <w:rFonts w:ascii="Times New Roman" w:hAnsi="Times New Roman" w:eastAsia="方正楷体简体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/>
          <w:b/>
          <w:sz w:val="32"/>
          <w:szCs w:val="32"/>
          <w:lang w:eastAsia="zh-CN"/>
        </w:rPr>
        <w:t>（二）分类定价标准</w:t>
      </w:r>
    </w:p>
    <w:p>
      <w:pPr>
        <w:widowControl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、对省级以上重点交通、水利基础设施用地，以征收（收回）成本、拆迁成本及社保资金据实定价。</w:t>
      </w:r>
    </w:p>
    <w:p>
      <w:pPr>
        <w:pStyle w:val="2"/>
        <w:widowControl w:val="0"/>
        <w:adjustRightInd w:val="0"/>
        <w:snapToGrid w:val="0"/>
        <w:spacing w:after="0" w:line="560" w:lineRule="exact"/>
        <w:ind w:firstLine="640" w:firstLineChars="200"/>
        <w:jc w:val="both"/>
        <w:rPr>
          <w:rFonts w:ascii="Times New Roman" w:hAnsi="Times New Roman" w:eastAsia="方正仿宋_GBK"/>
          <w:color w:val="FF000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、其它符合《划拨用地目录》的划拨用地，位于规划区内的，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划拨价格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60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万元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亩；位于规划区外的，划拨价格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35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万元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240" w:lineRule="auto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2022-08-04T01:16:43Z</dcterms:created>
  <dc:creator>Administrator</dc:creator>
  <cp:lastModifiedBy>Administrator</cp:lastModifiedBy>
  <dcterms:modified xsi:type="dcterms:W3CDTF">2022-08-04T01:16:47Z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