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《达州通川莲花湖110千伏输变电工程建设项目压覆已查明重要矿产资源评估报告》矿产资源储量评审备案公示信息表</w:t>
      </w:r>
    </w:p>
    <w:tbl>
      <w:tblPr>
        <w:tblStyle w:val="8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国网四川省电力公司达州供电公司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《达州通川莲花湖110千伏输变电工程建设项目压覆已查明重要矿产资源评估报告》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四川益新工程勘察设计有限公司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/>
                <w:snapToGrid w:val="0"/>
                <w:color w:val="auto"/>
                <w:sz w:val="21"/>
                <w:szCs w:val="21"/>
              </w:rPr>
              <w:t>王 涛</w:t>
            </w:r>
            <w:r>
              <w:rPr>
                <w:rFonts w:hint="eastAsia" w:eastAsia="仿宋"/>
                <w:snapToGrid w:val="0"/>
                <w:color w:val="auto"/>
                <w:sz w:val="21"/>
                <w:szCs w:val="21"/>
                <w:lang w:val="en-US" w:eastAsia="zh-CN"/>
              </w:rPr>
              <w:t xml:space="preserve">   钟 浩   何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吴永贵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陈长永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2"/>
                <w:szCs w:val="22"/>
              </w:rPr>
              <w:t>平面影响范围：塔基征地范围外扩10m；影响深度：拟建工程塔基基础地面标高以下160m；移动角参数：走向移动角δ=70°，上山移动角γ=73°，下山移动角β=48°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sz w:val="16"/>
                <w:szCs w:val="16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评审评定，拟建达州通川莲花湖110千伏输变电工程未压覆已查明重要矿产资源。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top"/>
          </w:tcPr>
          <w:p>
            <w:pPr>
              <w:ind w:firstLine="420" w:firstLineChars="200"/>
              <w:outlineLvl w:val="3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经调查核实，在拟建项目影响区范围内存在1处已查明重要矿产资源矿产地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(达县周家山井田（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编号：513021601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）)</w:t>
            </w:r>
          </w:p>
          <w:p>
            <w:pPr>
              <w:pStyle w:val="2"/>
              <w:spacing w:line="240" w:lineRule="auto"/>
              <w:ind w:left="0" w:leftChars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04A0047"/>
    <w:rsid w:val="01D24C09"/>
    <w:rsid w:val="052C6F98"/>
    <w:rsid w:val="073C399C"/>
    <w:rsid w:val="0E741BC0"/>
    <w:rsid w:val="0F5D3253"/>
    <w:rsid w:val="12C34231"/>
    <w:rsid w:val="160C13C3"/>
    <w:rsid w:val="1B8732E9"/>
    <w:rsid w:val="26031705"/>
    <w:rsid w:val="286C60A7"/>
    <w:rsid w:val="292C33BF"/>
    <w:rsid w:val="2B7E329E"/>
    <w:rsid w:val="2E747222"/>
    <w:rsid w:val="308402F0"/>
    <w:rsid w:val="32917387"/>
    <w:rsid w:val="38820B69"/>
    <w:rsid w:val="3C07147C"/>
    <w:rsid w:val="3C1328AE"/>
    <w:rsid w:val="3CA36CA8"/>
    <w:rsid w:val="3DB50464"/>
    <w:rsid w:val="3E13386B"/>
    <w:rsid w:val="42531B7C"/>
    <w:rsid w:val="437E66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6680AAE"/>
    <w:rsid w:val="57B73C80"/>
    <w:rsid w:val="5BE91C11"/>
    <w:rsid w:val="5D21706A"/>
    <w:rsid w:val="5E200B57"/>
    <w:rsid w:val="5FEB64D6"/>
    <w:rsid w:val="60716DEE"/>
    <w:rsid w:val="62FA7748"/>
    <w:rsid w:val="63C615CF"/>
    <w:rsid w:val="669D5621"/>
    <w:rsid w:val="67F76100"/>
    <w:rsid w:val="699D154D"/>
    <w:rsid w:val="6B592915"/>
    <w:rsid w:val="6D165A8C"/>
    <w:rsid w:val="6D242065"/>
    <w:rsid w:val="6E232CDC"/>
    <w:rsid w:val="70555797"/>
    <w:rsid w:val="70897467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Document Map"/>
    <w:basedOn w:val="1"/>
    <w:qFormat/>
    <w:uiPriority w:val="0"/>
    <w:rPr>
      <w:rFonts w:ascii="宋体"/>
      <w:sz w:val="18"/>
      <w:szCs w:val="18"/>
    </w:rPr>
  </w:style>
  <w:style w:type="paragraph" w:styleId="6">
    <w:name w:val="Plain Text"/>
    <w:basedOn w:val="1"/>
    <w:next w:val="4"/>
    <w:qFormat/>
    <w:uiPriority w:val="0"/>
    <w:rPr>
      <w:rFonts w:ascii="宋体" w:hAnsi="Courier New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洋杨阳</cp:lastModifiedBy>
  <cp:lastPrinted>2022-01-19T08:42:00Z</cp:lastPrinted>
  <dcterms:modified xsi:type="dcterms:W3CDTF">2022-10-31T08:27:23Z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