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《金上-湖北±800千伏特高压直流输电工程（四川段）压覆已查明重要矿产资源评估报告》矿产资源储量评审备案公示信息表</w:t>
      </w:r>
    </w:p>
    <w:tbl>
      <w:tblPr>
        <w:tblStyle w:val="9"/>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 xml:space="preserve">国网四川省电力公司建设分公司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《金上-湖北±800千伏特高压直流输电工程（四川段）压覆已查明重要矿产资源评估报告》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四川省地质矿产勘查开发局物探队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吴文谦   冯 爽    李 旭</w:t>
            </w:r>
            <w:r>
              <w:rPr>
                <w:rFonts w:hint="eastAsia" w:eastAsia="仿宋_GB2312" w:cs="Times New Roman"/>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 xml:space="preserve"> 赖贤友  冉孟云 </w:t>
            </w:r>
            <w:bookmarkStart w:id="0" w:name="_GoBack"/>
            <w:bookmarkEnd w:id="0"/>
            <w:r>
              <w:rPr>
                <w:rFonts w:hint="eastAsia" w:eastAsia="仿宋_GB2312" w:cs="Times New Roman"/>
                <w:b w:val="0"/>
                <w:bCs w:val="0"/>
                <w:color w:val="000000"/>
                <w:sz w:val="21"/>
                <w:szCs w:val="21"/>
                <w:lang w:val="en-US" w:eastAsia="zh-CN"/>
              </w:rPr>
              <w:t xml:space="preserve"> 王 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rPr>
              <w:t>本次采用工业指标</w:t>
            </w: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right="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 xml:space="preserve">    工程平面影响范围为：变电站用地及塔基建设范围边界外推20m；影响深度为：白玉巴塘雅江段280m，康定泸定段240m，荥经峨眉山段下240m，夹江资中安岳段230m，华蓥李子垭矿段240m，邻水孔家山矿段290m，大竹城门洞矿段260m；岩石移动角参数：白玉巴塘雅江段走向移动角δ=70°、上山移动角γ=70°、下山移动角β=60°，康定泸定段走向移动角δ=75°、上山移动角γ=75°、下山移动角β=75°，荥经峨眉山段走向移动角δ=70°、上山移动角γ=70°、下山移动角β=65°，夹江资中安岳段走向移动角δ=70°、上山移动角γ=70°、下山移动角β=68°，华蓥李子垭矿段、邻水孔家山矿段和大竹城门洞矿段走向移动角δ=70°、上山移动角γ=70°、下山移动角β=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 xml:space="preserve"> 评审评定，拟建的金上-湖北±800千伏特高压直流输电工程（四川段）压覆已查明重要矿产资源。压覆各矿产地煤炭资源量为：</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1. 华蓥市李子垭煤矿北井</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压覆李子垭煤矿北井田内推断资源量0.1万吨；压覆井田内已关闭的四川省华蓥山煤业股份有限公司李子垭煤矿控制资源量10.6万吨；压覆井田内已关闭的久兴煤矿控制资源量3.2万吨，推断资源量6.0万吨。</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2.大竹县城门洞井田</w:t>
            </w:r>
          </w:p>
          <w:p>
            <w:pPr>
              <w:pStyle w:val="8"/>
              <w:keepNext w:val="0"/>
              <w:keepLines w:val="0"/>
              <w:pageBreakBefore w:val="0"/>
              <w:widowControl w:val="0"/>
              <w:kinsoku/>
              <w:wordWrap/>
              <w:overflowPunct/>
              <w:topLinePunct w:val="0"/>
              <w:autoSpaceDE/>
              <w:autoSpaceDN/>
              <w:bidi w:val="0"/>
              <w:adjustRightInd w:val="0"/>
              <w:snapToGrid w:val="0"/>
              <w:spacing w:line="240" w:lineRule="auto"/>
              <w:ind w:left="0" w:leftChars="0" w:firstLine="420" w:firstLineChars="200"/>
              <w:jc w:val="left"/>
              <w:textAlignment w:val="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压覆大竹县城门洞井田推断资源量3.4万吨。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top"/>
          </w:tcPr>
          <w:p>
            <w:pPr>
              <w:adjustRightInd w:val="0"/>
              <w:snapToGrid w:val="0"/>
              <w:spacing w:line="560" w:lineRule="exact"/>
              <w:ind w:firstLine="420" w:firstLineChars="200"/>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 xml:space="preserve"> 经调查核实，在拟建工程影响区范围内存在6处已查明重要矿产资源的矿产地（华蓥市李子垭煤矿北井、华蓥市李子垭煤矿南井田、邻水县孔家山井田、大竹县城门洞井田、资中县铁佛场勘查区、华蓥市溪口煤矿（三百梯）、华蓥市红岩煤矿（三百梯井田）），11宗探矿权（四川省巴塘县崩扎铜锌铁多金属矿预查、 四川省巴塘县黄草坪铜铁多金属矿普查、四川省雅江县俄洛金多金属矿普查、 四川省康定县热水塘地热勘探、四川省泸定县尖尖石金矿详查、四川省泸定县甘草沟铅多金属矿详查、四川省泸定县兴隆松树林铅锌多金属矿普查、四川省荥经县三合乡祁家河铅锌锰多金属矿(延伸)详查、四川省荥经县新庙乡地热普查</w:t>
            </w:r>
            <w:r>
              <w:rPr>
                <w:rFonts w:hint="eastAsia" w:eastAsia="仿宋_GB2312" w:cs="Times New Roman"/>
                <w:color w:val="000000"/>
                <w:kern w:val="2"/>
                <w:sz w:val="21"/>
                <w:szCs w:val="21"/>
                <w:lang w:val="en-US" w:eastAsia="zh-CN" w:bidi="ar-SA"/>
              </w:rPr>
              <w:t>、四川省乐山市峨眉山市、夹江县、洪雅县地热勘探、四川省大竹县明月峡矿区城门洞矿段煤炭详查）</w:t>
            </w:r>
            <w:r>
              <w:rPr>
                <w:rFonts w:hint="eastAsia" w:ascii="Times New Roman" w:hAnsi="Times New Roman" w:eastAsia="仿宋_GB2312" w:cs="Times New Roman"/>
                <w:color w:val="000000"/>
                <w:kern w:val="2"/>
                <w:sz w:val="21"/>
                <w:szCs w:val="21"/>
                <w:lang w:val="en-US" w:eastAsia="zh-CN" w:bidi="ar-SA"/>
              </w:rPr>
              <w:t>，2处地勘基金项目。查询表中，地勘基金四川省内江市资威煤田铁佛场煤炭普查和矿产地资中县铁佛场勘查区实为同一项目，四川省邻水县中山背斜南段孔家山井田煤炭普查和矿产地邻水县孔家山井田实为同一项目；有一处矿产地华蓥市李子垭煤矿南井未查询到但经核实其实际位置与工程影响区范围重叠。</w:t>
            </w:r>
          </w:p>
        </w:tc>
      </w:tr>
    </w:tbl>
    <w:p>
      <w:pPr>
        <w:pStyle w:val="8"/>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5797"/>
    <w:rsid w:val="004A0047"/>
    <w:rsid w:val="01D24C09"/>
    <w:rsid w:val="052C6F98"/>
    <w:rsid w:val="073C399C"/>
    <w:rsid w:val="0E741BC0"/>
    <w:rsid w:val="0F5D3253"/>
    <w:rsid w:val="12C34231"/>
    <w:rsid w:val="160C13C3"/>
    <w:rsid w:val="1B8732E9"/>
    <w:rsid w:val="26031705"/>
    <w:rsid w:val="286C60A7"/>
    <w:rsid w:val="292C33BF"/>
    <w:rsid w:val="2A122105"/>
    <w:rsid w:val="2B7E329E"/>
    <w:rsid w:val="2C687A4B"/>
    <w:rsid w:val="2E747222"/>
    <w:rsid w:val="2EB74712"/>
    <w:rsid w:val="308402F0"/>
    <w:rsid w:val="32917387"/>
    <w:rsid w:val="33047233"/>
    <w:rsid w:val="38820B69"/>
    <w:rsid w:val="3C07147C"/>
    <w:rsid w:val="3C1328AE"/>
    <w:rsid w:val="3CA36CA8"/>
    <w:rsid w:val="3DB50464"/>
    <w:rsid w:val="3E13386B"/>
    <w:rsid w:val="42531B7C"/>
    <w:rsid w:val="437E6621"/>
    <w:rsid w:val="48C77C26"/>
    <w:rsid w:val="49991828"/>
    <w:rsid w:val="4D970B37"/>
    <w:rsid w:val="4EAE64BF"/>
    <w:rsid w:val="4F912937"/>
    <w:rsid w:val="51EC759B"/>
    <w:rsid w:val="53C9489D"/>
    <w:rsid w:val="53F430D0"/>
    <w:rsid w:val="5483718F"/>
    <w:rsid w:val="56680AAE"/>
    <w:rsid w:val="57B73C80"/>
    <w:rsid w:val="5BE91C11"/>
    <w:rsid w:val="5D21706A"/>
    <w:rsid w:val="5E200B57"/>
    <w:rsid w:val="5FEB64D6"/>
    <w:rsid w:val="60716DEE"/>
    <w:rsid w:val="62FA7748"/>
    <w:rsid w:val="669D5621"/>
    <w:rsid w:val="67F76100"/>
    <w:rsid w:val="699D154D"/>
    <w:rsid w:val="6B592915"/>
    <w:rsid w:val="6D165A8C"/>
    <w:rsid w:val="6D242065"/>
    <w:rsid w:val="6E232CDC"/>
    <w:rsid w:val="70555797"/>
    <w:rsid w:val="70897467"/>
    <w:rsid w:val="71025FC0"/>
    <w:rsid w:val="73AF3A03"/>
    <w:rsid w:val="743E4454"/>
    <w:rsid w:val="75F21F62"/>
    <w:rsid w:val="76604EA1"/>
    <w:rsid w:val="77587FBA"/>
    <w:rsid w:val="79FE3C3B"/>
    <w:rsid w:val="7C4611B3"/>
    <w:rsid w:val="7C525C29"/>
    <w:rsid w:val="7DF7A45B"/>
    <w:rsid w:val="7EBE43BD"/>
    <w:rsid w:val="7FD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index 5"/>
    <w:basedOn w:val="1"/>
    <w:next w:val="1"/>
    <w:qFormat/>
    <w:uiPriority w:val="0"/>
    <w:pPr>
      <w:ind w:left="800" w:leftChars="800"/>
    </w:pPr>
  </w:style>
  <w:style w:type="paragraph" w:styleId="4">
    <w:name w:val="Document Map"/>
    <w:basedOn w:val="1"/>
    <w:qFormat/>
    <w:uiPriority w:val="0"/>
    <w:rPr>
      <w:rFonts w:ascii="宋体"/>
      <w:sz w:val="18"/>
      <w:szCs w:val="18"/>
    </w:rPr>
  </w:style>
  <w:style w:type="paragraph" w:styleId="5">
    <w:name w:val="Body Text Indent"/>
    <w:basedOn w:val="1"/>
    <w:qFormat/>
    <w:uiPriority w:val="0"/>
    <w:pPr>
      <w:ind w:firstLine="538" w:firstLineChars="192"/>
    </w:pPr>
    <w:rPr>
      <w:rFonts w:ascii="宋体" w:hAnsi="宋体"/>
      <w:sz w:val="28"/>
    </w:rPr>
  </w:style>
  <w:style w:type="paragraph" w:styleId="6">
    <w:name w:val="Plain Text"/>
    <w:basedOn w:val="1"/>
    <w:next w:val="3"/>
    <w:qFormat/>
    <w:uiPriority w:val="0"/>
    <w:rPr>
      <w:rFonts w:ascii="宋体" w:hAnsi="Courier New"/>
    </w:rPr>
  </w:style>
  <w:style w:type="paragraph" w:styleId="7">
    <w:name w:val="Normal (Web)"/>
    <w:basedOn w:val="1"/>
    <w:qFormat/>
    <w:uiPriority w:val="0"/>
    <w:rPr>
      <w:sz w:val="24"/>
    </w:rPr>
  </w:style>
  <w:style w:type="paragraph" w:styleId="8">
    <w:name w:val="Body Text First Indent 2"/>
    <w:basedOn w:val="5"/>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style01"/>
    <w:qFormat/>
    <w:uiPriority w:val="0"/>
    <w:rPr>
      <w:rFonts w:hint="eastAsia" w:ascii="仿宋_GB2312" w:eastAsia="仿宋_GB2312"/>
      <w:color w:val="000000"/>
      <w:sz w:val="24"/>
      <w:szCs w:val="24"/>
    </w:rPr>
  </w:style>
  <w:style w:type="character" w:customStyle="1" w:styleId="13">
    <w:name w:val="font61"/>
    <w:basedOn w:val="11"/>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2022-01-17T09:14:00Z</dcterms:created>
  <dc:creator>雁过留声</dc:creator>
  <cp:lastModifiedBy>洋杨阳</cp:lastModifiedBy>
  <cp:lastPrinted>2022-01-19T08:42:00Z</cp:lastPrinted>
  <dcterms:modified xsi:type="dcterms:W3CDTF">2023-01-10T02:47:06Z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