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《四川省绵竹市板棚子矿区黄土坑磷矿资源储量核实报告》矿产资源储量评审备案公示信息表</w:t>
      </w:r>
    </w:p>
    <w:tbl>
      <w:tblPr>
        <w:tblStyle w:val="12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四川龙蟒磷化工有限公司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《四川省绵竹市板棚子矿区黄土坑磷矿资源储量核实报告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四川省化工地质勘查院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Cs w:val="32"/>
              </w:rPr>
              <w:t>赵宗德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</w:rPr>
              <w:t xml:space="preserve"> </w:t>
            </w: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胡勇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Cs w:val="32"/>
              </w:rPr>
              <w:t>杨群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C5100002010076120070416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四川龙蟒磷化工有限公司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Cs w:val="32"/>
              </w:rPr>
              <w:t>蒋光明</w:t>
            </w:r>
            <w:r>
              <w:rPr>
                <w:rFonts w:hint="eastAsia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Cs w:val="32"/>
              </w:rPr>
              <w:t>雷</w:t>
            </w:r>
            <w:r>
              <w:rPr>
                <w:rFonts w:hint="default" w:ascii="仿宋_GB2312" w:hAnsi="仿宋_GB2312" w:eastAsia="仿宋_GB2312" w:cs="仿宋_GB2312"/>
                <w:snapToGrid w:val="0"/>
                <w:color w:val="auto"/>
                <w:szCs w:val="32"/>
              </w:rPr>
              <w:t>爵能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Cs w:val="32"/>
              </w:rPr>
              <w:t xml:space="preserve">  李永建</w:t>
            </w:r>
            <w:r>
              <w:rPr>
                <w:rFonts w:hint="eastAsia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仿宋_GB2312" w:hAnsi="仿宋_GB2312" w:eastAsia="仿宋_GB2312" w:cs="仿宋_GB2312"/>
                <w:snapToGrid w:val="0"/>
                <w:color w:val="auto"/>
                <w:szCs w:val="32"/>
              </w:rPr>
              <w:t>王林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Cs w:val="32"/>
              </w:rPr>
              <w:t xml:space="preserve">  刘敏玲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 w:firstLine="632"/>
              <w:textAlignment w:val="auto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本次资源量估算采用最近一次核实报告《四川省绵竹市板棚子磷矿区龙林磷矿资源储量核实报告》的工业</w:t>
            </w: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指标：边界品位P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O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12%；最低工业品位P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O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15%；最小可采厚度1.0m；最小夹石剔除厚度1.0m。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采矿权变更范围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磷矿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pStyle w:val="2"/>
              <w:spacing w:line="580" w:lineRule="exact"/>
              <w:ind w:left="0" w:leftChars="0" w:firstLine="0" w:firstLineChars="0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采矿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权范围内保有、动用和累计查明的资源储量如下表：</w:t>
            </w:r>
          </w:p>
          <w:tbl>
            <w:tblPr>
              <w:tblStyle w:val="12"/>
              <w:tblW w:w="4521" w:type="pct"/>
              <w:tblInd w:w="15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2"/>
              <w:gridCol w:w="964"/>
              <w:gridCol w:w="981"/>
              <w:gridCol w:w="951"/>
              <w:gridCol w:w="939"/>
              <w:gridCol w:w="1006"/>
              <w:gridCol w:w="853"/>
              <w:gridCol w:w="8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2" w:hRule="atLeast"/>
              </w:trPr>
              <w:tc>
                <w:tcPr>
                  <w:tcW w:w="509" w:type="pct"/>
                  <w:vMerge w:val="restar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资源类型</w:t>
                  </w:r>
                </w:p>
              </w:tc>
              <w:tc>
                <w:tcPr>
                  <w:tcW w:w="2634" w:type="pct"/>
                  <w:gridSpan w:val="4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 w:firstLine="64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资源量（万吨）</w:t>
                  </w:r>
                </w:p>
              </w:tc>
              <w:tc>
                <w:tcPr>
                  <w:tcW w:w="691" w:type="pct"/>
                  <w:vMerge w:val="restar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平均品位P</w:t>
                  </w: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O</w:t>
                  </w: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  <w:vertAlign w:val="subscript"/>
                    </w:rPr>
                    <w:t>5</w:t>
                  </w: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（%）</w:t>
                  </w:r>
                </w:p>
              </w:tc>
              <w:tc>
                <w:tcPr>
                  <w:tcW w:w="1164" w:type="pct"/>
                  <w:gridSpan w:val="2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储量（万吨）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33" w:hRule="atLeast"/>
              </w:trPr>
              <w:tc>
                <w:tcPr>
                  <w:tcW w:w="509" w:type="pct"/>
                  <w:vMerge w:val="continue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 w:firstLine="64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662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探 明</w:t>
                  </w:r>
                </w:p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资源量</w:t>
                  </w:r>
                </w:p>
              </w:tc>
              <w:tc>
                <w:tcPr>
                  <w:tcW w:w="67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控 制</w:t>
                  </w:r>
                </w:p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资源量</w:t>
                  </w:r>
                </w:p>
              </w:tc>
              <w:tc>
                <w:tcPr>
                  <w:tcW w:w="65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推 断</w:t>
                  </w:r>
                </w:p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资源量</w:t>
                  </w:r>
                </w:p>
              </w:tc>
              <w:tc>
                <w:tcPr>
                  <w:tcW w:w="645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小计</w:t>
                  </w:r>
                </w:p>
              </w:tc>
              <w:tc>
                <w:tcPr>
                  <w:tcW w:w="691" w:type="pct"/>
                  <w:vMerge w:val="continue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 w:firstLine="64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586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证实</w:t>
                  </w:r>
                </w:p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储量</w:t>
                  </w:r>
                </w:p>
              </w:tc>
              <w:tc>
                <w:tcPr>
                  <w:tcW w:w="578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可信</w:t>
                  </w:r>
                </w:p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储量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2" w:hRule="atLeast"/>
              </w:trPr>
              <w:tc>
                <w:tcPr>
                  <w:tcW w:w="509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jc w:val="both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保有</w:t>
                  </w:r>
                </w:p>
              </w:tc>
              <w:tc>
                <w:tcPr>
                  <w:tcW w:w="662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54.6</w:t>
                  </w:r>
                </w:p>
              </w:tc>
              <w:tc>
                <w:tcPr>
                  <w:tcW w:w="67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190.0</w:t>
                  </w:r>
                </w:p>
              </w:tc>
              <w:tc>
                <w:tcPr>
                  <w:tcW w:w="65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180.9</w:t>
                  </w:r>
                </w:p>
              </w:tc>
              <w:tc>
                <w:tcPr>
                  <w:tcW w:w="645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425.5</w:t>
                  </w:r>
                </w:p>
              </w:tc>
              <w:tc>
                <w:tcPr>
                  <w:tcW w:w="691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25.0</w:t>
                  </w: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586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41.2</w:t>
                  </w:r>
                </w:p>
              </w:tc>
              <w:tc>
                <w:tcPr>
                  <w:tcW w:w="578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143.2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2" w:hRule="atLeast"/>
              </w:trPr>
              <w:tc>
                <w:tcPr>
                  <w:tcW w:w="509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jc w:val="both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动用</w:t>
                  </w:r>
                </w:p>
              </w:tc>
              <w:tc>
                <w:tcPr>
                  <w:tcW w:w="662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762.3</w:t>
                  </w:r>
                </w:p>
              </w:tc>
              <w:tc>
                <w:tcPr>
                  <w:tcW w:w="67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65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645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762.3</w:t>
                  </w:r>
                </w:p>
              </w:tc>
              <w:tc>
                <w:tcPr>
                  <w:tcW w:w="691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25.32</w:t>
                  </w:r>
                </w:p>
              </w:tc>
              <w:tc>
                <w:tcPr>
                  <w:tcW w:w="586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560.1</w:t>
                  </w:r>
                </w:p>
              </w:tc>
              <w:tc>
                <w:tcPr>
                  <w:tcW w:w="578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509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jc w:val="both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查明</w:t>
                  </w:r>
                </w:p>
              </w:tc>
              <w:tc>
                <w:tcPr>
                  <w:tcW w:w="662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816.9</w:t>
                  </w:r>
                </w:p>
              </w:tc>
              <w:tc>
                <w:tcPr>
                  <w:tcW w:w="67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190.0</w:t>
                  </w:r>
                </w:p>
              </w:tc>
              <w:tc>
                <w:tcPr>
                  <w:tcW w:w="653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180.9</w:t>
                  </w:r>
                </w:p>
              </w:tc>
              <w:tc>
                <w:tcPr>
                  <w:tcW w:w="645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1187.8</w:t>
                  </w:r>
                </w:p>
              </w:tc>
              <w:tc>
                <w:tcPr>
                  <w:tcW w:w="691" w:type="pct"/>
                  <w:shd w:val="clear" w:color="auto" w:fill="auto"/>
                  <w:noWrap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25.22</w:t>
                  </w:r>
                </w:p>
              </w:tc>
              <w:tc>
                <w:tcPr>
                  <w:tcW w:w="586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601.3</w:t>
                  </w:r>
                </w:p>
              </w:tc>
              <w:tc>
                <w:tcPr>
                  <w:tcW w:w="578" w:type="pct"/>
                  <w:shd w:val="clear" w:color="auto" w:fill="auto"/>
                  <w:vAlign w:val="center"/>
                </w:tcPr>
                <w:p>
                  <w:pPr>
                    <w:pStyle w:val="19"/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exact"/>
                    <w:ind w:left="0" w:right="0"/>
                    <w:textAlignment w:val="auto"/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</w:rPr>
                    <w:t>143.2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本次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评审通过的资源储量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与最近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评审备案资源量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相比，本次累计查明磷矿石资源储量在采矿权相同范围内增加73.8万吨。主要原因为：在Ⅰ号薄化区内有3个采样点矿石品位、厚度达到工业指标要求，致薄化区变小，新增资源量。</w:t>
            </w: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xNGRiZGY2MzBhOGVhN2JjOTU3MzUyNzkyNmNjODkifQ=="/>
  </w:docVars>
  <w:rsids>
    <w:rsidRoot w:val="70555797"/>
    <w:rsid w:val="004A0047"/>
    <w:rsid w:val="005B1436"/>
    <w:rsid w:val="01D24C09"/>
    <w:rsid w:val="04524FC3"/>
    <w:rsid w:val="052C6F98"/>
    <w:rsid w:val="073C399C"/>
    <w:rsid w:val="0E741BC0"/>
    <w:rsid w:val="0F510C48"/>
    <w:rsid w:val="0F5D3253"/>
    <w:rsid w:val="10C32285"/>
    <w:rsid w:val="12C34231"/>
    <w:rsid w:val="13732174"/>
    <w:rsid w:val="15827F48"/>
    <w:rsid w:val="160C13C3"/>
    <w:rsid w:val="1B8732E9"/>
    <w:rsid w:val="26031705"/>
    <w:rsid w:val="26D84A94"/>
    <w:rsid w:val="286C60A7"/>
    <w:rsid w:val="292C33BF"/>
    <w:rsid w:val="2A122105"/>
    <w:rsid w:val="2A6D41DC"/>
    <w:rsid w:val="2B7E329E"/>
    <w:rsid w:val="2C513FEF"/>
    <w:rsid w:val="2C687A4B"/>
    <w:rsid w:val="2E747222"/>
    <w:rsid w:val="2EB74712"/>
    <w:rsid w:val="2F3A4B32"/>
    <w:rsid w:val="308402F0"/>
    <w:rsid w:val="32917387"/>
    <w:rsid w:val="33047233"/>
    <w:rsid w:val="35DD5171"/>
    <w:rsid w:val="38820B69"/>
    <w:rsid w:val="39F32B51"/>
    <w:rsid w:val="3AF05396"/>
    <w:rsid w:val="3C07147C"/>
    <w:rsid w:val="3C1328AE"/>
    <w:rsid w:val="3CA36CA8"/>
    <w:rsid w:val="3DB50464"/>
    <w:rsid w:val="3DFA2D3E"/>
    <w:rsid w:val="3E13386B"/>
    <w:rsid w:val="42531B7C"/>
    <w:rsid w:val="437E6621"/>
    <w:rsid w:val="48C77C26"/>
    <w:rsid w:val="49991828"/>
    <w:rsid w:val="4D970B37"/>
    <w:rsid w:val="4DB71894"/>
    <w:rsid w:val="4EAE64BF"/>
    <w:rsid w:val="4F912937"/>
    <w:rsid w:val="51EC759B"/>
    <w:rsid w:val="53C9489D"/>
    <w:rsid w:val="53F430D0"/>
    <w:rsid w:val="5483718F"/>
    <w:rsid w:val="55095507"/>
    <w:rsid w:val="55C74655"/>
    <w:rsid w:val="56680AAE"/>
    <w:rsid w:val="57B73C80"/>
    <w:rsid w:val="5B610763"/>
    <w:rsid w:val="5B80510D"/>
    <w:rsid w:val="5BC97002"/>
    <w:rsid w:val="5BE91C11"/>
    <w:rsid w:val="5C8B3520"/>
    <w:rsid w:val="5D21706A"/>
    <w:rsid w:val="5E200B57"/>
    <w:rsid w:val="5FEB64D6"/>
    <w:rsid w:val="600602F4"/>
    <w:rsid w:val="60716DEE"/>
    <w:rsid w:val="62FA7748"/>
    <w:rsid w:val="638431F5"/>
    <w:rsid w:val="639E6190"/>
    <w:rsid w:val="669D5621"/>
    <w:rsid w:val="67F76100"/>
    <w:rsid w:val="68CC1C5B"/>
    <w:rsid w:val="699D154D"/>
    <w:rsid w:val="69A947F5"/>
    <w:rsid w:val="6B592915"/>
    <w:rsid w:val="6C187E99"/>
    <w:rsid w:val="6D165A8C"/>
    <w:rsid w:val="6D242065"/>
    <w:rsid w:val="6E232CDC"/>
    <w:rsid w:val="70555797"/>
    <w:rsid w:val="70897467"/>
    <w:rsid w:val="71025FC0"/>
    <w:rsid w:val="73AF3A03"/>
    <w:rsid w:val="743E4454"/>
    <w:rsid w:val="75F21F62"/>
    <w:rsid w:val="76604EA1"/>
    <w:rsid w:val="770D06F5"/>
    <w:rsid w:val="77587FBA"/>
    <w:rsid w:val="79FE3C3B"/>
    <w:rsid w:val="7BCB71A3"/>
    <w:rsid w:val="7C4611B3"/>
    <w:rsid w:val="7C525C29"/>
    <w:rsid w:val="7DF7A45B"/>
    <w:rsid w:val="7E1C4F5F"/>
    <w:rsid w:val="7EBE43BD"/>
    <w:rsid w:val="7FDC3D72"/>
    <w:rsid w:val="7FE833AA"/>
    <w:rsid w:val="7F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120" w:after="120" w:line="0" w:lineRule="atLeast"/>
      <w:outlineLvl w:val="1"/>
    </w:pPr>
    <w:rPr>
      <w:rFonts w:eastAsia="黑体"/>
      <w:kern w:val="0"/>
      <w:sz w:val="30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Body Text Indent"/>
    <w:basedOn w:val="1"/>
    <w:next w:val="4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5"/>
    <w:basedOn w:val="1"/>
    <w:next w:val="1"/>
    <w:qFormat/>
    <w:uiPriority w:val="0"/>
    <w:pPr>
      <w:ind w:left="800" w:leftChars="800"/>
    </w:pPr>
  </w:style>
  <w:style w:type="paragraph" w:styleId="7">
    <w:name w:val="Document Map"/>
    <w:basedOn w:val="1"/>
    <w:qFormat/>
    <w:uiPriority w:val="0"/>
    <w:rPr>
      <w:rFonts w:ascii="宋体"/>
      <w:sz w:val="18"/>
      <w:szCs w:val="18"/>
    </w:rPr>
  </w:style>
  <w:style w:type="paragraph" w:styleId="8">
    <w:name w:val="Body Text"/>
    <w:basedOn w:val="1"/>
    <w:unhideWhenUsed/>
    <w:qFormat/>
    <w:uiPriority w:val="99"/>
    <w:pPr>
      <w:spacing w:after="120"/>
    </w:pPr>
  </w:style>
  <w:style w:type="paragraph" w:styleId="9">
    <w:name w:val="toc 3"/>
    <w:basedOn w:val="1"/>
    <w:next w:val="1"/>
    <w:qFormat/>
    <w:uiPriority w:val="39"/>
    <w:rPr>
      <w:rFonts w:cs="Times New Roman"/>
    </w:rPr>
  </w:style>
  <w:style w:type="paragraph" w:styleId="10">
    <w:name w:val="Plain Text"/>
    <w:basedOn w:val="1"/>
    <w:next w:val="6"/>
    <w:qFormat/>
    <w:uiPriority w:val="0"/>
    <w:rPr>
      <w:rFonts w:ascii="宋体" w:hAnsi="Courier New"/>
    </w:rPr>
  </w:style>
  <w:style w:type="paragraph" w:styleId="11">
    <w:name w:val="Normal (Web)"/>
    <w:basedOn w:val="1"/>
    <w:qFormat/>
    <w:uiPriority w:val="0"/>
    <w:rPr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6">
    <w:name w:val="font61"/>
    <w:basedOn w:val="14"/>
    <w:qFormat/>
    <w:uiPriority w:val="0"/>
    <w:rPr>
      <w:rFonts w:ascii="仿宋_GB2312" w:eastAsia="仿宋_GB2312" w:cs="仿宋_GB2312"/>
      <w:color w:val="000000"/>
      <w:sz w:val="21"/>
      <w:szCs w:val="21"/>
      <w:u w:val="none"/>
    </w:rPr>
  </w:style>
  <w:style w:type="paragraph" w:customStyle="1" w:styleId="17">
    <w:name w:val="表格文字"/>
    <w:basedOn w:val="1"/>
    <w:qFormat/>
    <w:uiPriority w:val="0"/>
    <w:pPr>
      <w:widowControl w:val="0"/>
      <w:spacing w:line="240" w:lineRule="auto"/>
      <w:ind w:firstLine="0" w:firstLineChars="0"/>
      <w:jc w:val="center"/>
    </w:pPr>
    <w:rPr>
      <w:rFonts w:ascii="Times New Roman" w:hAnsi="Times New Roman"/>
      <w:kern w:val="11"/>
      <w:sz w:val="24"/>
      <w:lang w:val="zh-CN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9">
    <w:name w:val="表格"/>
    <w:basedOn w:val="1"/>
    <w:next w:val="1"/>
    <w:qFormat/>
    <w:uiPriority w:val="0"/>
    <w:pPr>
      <w:spacing w:line="240" w:lineRule="auto"/>
      <w:ind w:firstLine="0" w:firstLineChars="0"/>
      <w:jc w:val="center"/>
    </w:pPr>
    <w:rPr>
      <w:rFonts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795</Characters>
  <Lines>0</Lines>
  <Paragraphs>0</Paragraphs>
  <TotalTime>2</TotalTime>
  <ScaleCrop>false</ScaleCrop>
  <LinksUpToDate>false</LinksUpToDate>
  <CharactersWithSpaces>805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2023-10-11T07:22:49Z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2D7DC2E98BD24984ADD227DE05EDAE69_12</vt:lpwstr>
  </property>
</Properties>
</file>