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《四川省甘洛县沙俄祖铅锌矿资源储量核实报告》矿产资源储量评审备案公示信息表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四川甘洛县株冶矿业有限责任公司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《四川省甘洛县沙俄祖铅锌矿资源储量核实报告》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四川省冶金地质勘查院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李俊俊   魏宇   王维华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C5100002010123230091302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四川甘洛县株冶矿业有限责任公司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胡夕鹏  杨俊伟  陈照雄  廖祥文  刘智权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氧化矿边界品位Pb 1.0%、Zn 2.0%，最低工业品位Pb 2.0%、Zn 3.5%；硫化矿+混合矿边界品位Pb 0.5%、Zn 0.8%，最低工业品位Pb 1.0%、Zn 2.0%；最小可采厚度1m，厚度小于1m时采用米·百分值圈定矿体；最小夹石剔除厚度2m，伴生有用组份综合评价指标Ag 2 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g/t。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非油气矿产在采矿期间资源储量发生重大变化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 w:firstLine="420" w:firstLineChars="2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评审通过的资源储量见下表。</w:t>
            </w:r>
          </w:p>
          <w:tbl>
            <w:tblPr>
              <w:tblStyle w:val="1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207"/>
              <w:gridCol w:w="1036"/>
              <w:gridCol w:w="875"/>
              <w:gridCol w:w="799"/>
              <w:gridCol w:w="743"/>
              <w:gridCol w:w="799"/>
              <w:gridCol w:w="769"/>
              <w:gridCol w:w="799"/>
              <w:gridCol w:w="9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2032" w:type="dxa"/>
                  <w:gridSpan w:val="3"/>
                  <w:vMerge w:val="restart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资源储量</w:t>
                  </w:r>
                </w:p>
              </w:tc>
              <w:tc>
                <w:tcPr>
                  <w:tcW w:w="2417" w:type="dxa"/>
                  <w:gridSpan w:val="3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主矿产</w:t>
                  </w:r>
                </w:p>
              </w:tc>
              <w:tc>
                <w:tcPr>
                  <w:tcW w:w="1568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共生矿产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伴生矿产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  <w:jc w:val="center"/>
              </w:trPr>
              <w:tc>
                <w:tcPr>
                  <w:tcW w:w="2032" w:type="dxa"/>
                  <w:gridSpan w:val="3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矿石量</w:t>
                  </w:r>
                </w:p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（万吨）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Pb</w:t>
                  </w:r>
                </w:p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（吨）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平均品位（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%）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Zn</w:t>
                  </w:r>
                </w:p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（吨）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平均品位（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%）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Ag</w:t>
                  </w:r>
                </w:p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（吨）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平均品位（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g/t）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restart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保有氧化矿</w:t>
                  </w: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探明资源量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32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11339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3.51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8499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2.63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18.58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控制资源量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14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4868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3.38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3149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2.19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27.78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推断资源量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13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0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6702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5.16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2201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1.69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23.08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restart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保有硫化矿+混合矿</w:t>
                  </w: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探明资源量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100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40271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4.02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29833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2.97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控制资源量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95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0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37548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3.95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26672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2.81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21.05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推断资源量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64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27025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4.21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19436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3.03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13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20.25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restart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left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保有合计</w:t>
                  </w: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探明资源量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132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51610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3.89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38332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2.89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27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20.36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控制资源量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109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42416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3.88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29821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2.73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24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789" w:type="dxa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</w:p>
              </w:tc>
              <w:tc>
                <w:tcPr>
                  <w:tcW w:w="1243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推断资源量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77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33727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4.37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21637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2.80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16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20.73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2032" w:type="dxa"/>
                  <w:gridSpan w:val="3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动用资源量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134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67507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5.02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30443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2.27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2032" w:type="dxa"/>
                  <w:gridSpan w:val="3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累计查明资源量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453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195260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4.30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120233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2.65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67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996" w:type="dxa"/>
                  <w:gridSpan w:val="2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动用</w:t>
                  </w:r>
                </w:p>
              </w:tc>
              <w:tc>
                <w:tcPr>
                  <w:tcW w:w="1036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证实储量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116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8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58677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5.02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26461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2.27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0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996" w:type="dxa"/>
                  <w:gridSpan w:val="2"/>
                  <w:vMerge w:val="restart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保有</w:t>
                  </w:r>
                </w:p>
              </w:tc>
              <w:tc>
                <w:tcPr>
                  <w:tcW w:w="1036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证实储量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115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44859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3.89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33318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2.89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23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20.36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9" w:hRule="atLeast"/>
                <w:jc w:val="center"/>
              </w:trPr>
              <w:tc>
                <w:tcPr>
                  <w:tcW w:w="996" w:type="dxa"/>
                  <w:gridSpan w:val="2"/>
                  <w:vMerge w:val="continue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可信储量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95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36868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3.88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25920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2.73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21.94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  <w:jc w:val="center"/>
              </w:trPr>
              <w:tc>
                <w:tcPr>
                  <w:tcW w:w="2032" w:type="dxa"/>
                  <w:gridSpan w:val="3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  <w:lang w:val="zh-CN"/>
                    </w:rPr>
                    <w:t>累计查明储量</w:t>
                  </w:r>
                </w:p>
              </w:tc>
              <w:tc>
                <w:tcPr>
                  <w:tcW w:w="875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327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140404</w:t>
                  </w:r>
                </w:p>
              </w:tc>
              <w:tc>
                <w:tcPr>
                  <w:tcW w:w="743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4.29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85699</w:t>
                  </w:r>
                </w:p>
              </w:tc>
              <w:tc>
                <w:tcPr>
                  <w:tcW w:w="76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2.62</w:t>
                  </w:r>
                </w:p>
              </w:tc>
              <w:tc>
                <w:tcPr>
                  <w:tcW w:w="799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  <w:t>44</w:t>
                  </w:r>
                </w:p>
              </w:tc>
              <w:tc>
                <w:tcPr>
                  <w:tcW w:w="902" w:type="dxa"/>
                  <w:vAlign w:val="center"/>
                </w:tcPr>
                <w:p>
                  <w:pPr>
                    <w:pStyle w:val="2"/>
                    <w:spacing w:line="240" w:lineRule="exact"/>
                    <w:ind w:firstLine="0" w:firstLineChars="0"/>
                    <w:jc w:val="center"/>
                    <w:rPr>
                      <w:rFonts w:ascii="仿宋_GB2312" w:hAnsi="仿宋_GB2312" w:eastAsia="仿宋_GB2312" w:cs="仿宋_GB2312"/>
                      <w:color w:val="auto"/>
                      <w:sz w:val="18"/>
                      <w:szCs w:val="18"/>
                      <w:highlight w:val="none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与最近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评审备案资源量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明矿石量增加276.4万吨，Pb金属量增加104875吨，Zn金属量增加78598吨，银金属量增加67吨。资源量变化的原因主要为：本次于2010年储量核实报告所圈定II、III、IV号矿体之间空白区域的矿体新施工了PD5、PD5-2等坑道工程进行探索、揭露和控制，证实其为同一矿体，矿体走向长度、倾向延伸、水平投影面积等均较以往增加较大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05B1436"/>
    <w:rsid w:val="01D24C09"/>
    <w:rsid w:val="04524FC3"/>
    <w:rsid w:val="052C6F98"/>
    <w:rsid w:val="073C399C"/>
    <w:rsid w:val="0E741BC0"/>
    <w:rsid w:val="0F510C48"/>
    <w:rsid w:val="0F5D3253"/>
    <w:rsid w:val="10C32285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9F32B51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DB71894"/>
    <w:rsid w:val="4EAE64BF"/>
    <w:rsid w:val="4F912937"/>
    <w:rsid w:val="51EC759B"/>
    <w:rsid w:val="53C9489D"/>
    <w:rsid w:val="53F430D0"/>
    <w:rsid w:val="5483718F"/>
    <w:rsid w:val="55095507"/>
    <w:rsid w:val="55C74655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39E6190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1C4F5F"/>
    <w:rsid w:val="7EBE43BD"/>
    <w:rsid w:val="7FDC3D72"/>
    <w:rsid w:val="7FE833AA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20" w:after="120" w:line="0" w:lineRule="atLeast"/>
      <w:outlineLvl w:val="1"/>
    </w:pPr>
    <w:rPr>
      <w:rFonts w:eastAsia="黑体"/>
      <w:kern w:val="0"/>
      <w:sz w:val="30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5"/>
    <w:basedOn w:val="1"/>
    <w:next w:val="1"/>
    <w:qFormat/>
    <w:uiPriority w:val="0"/>
    <w:pPr>
      <w:ind w:left="800" w:leftChars="800"/>
    </w:pPr>
  </w:style>
  <w:style w:type="paragraph" w:styleId="7">
    <w:name w:val="Document Map"/>
    <w:basedOn w:val="1"/>
    <w:qFormat/>
    <w:uiPriority w:val="0"/>
    <w:rPr>
      <w:rFonts w:ascii="宋体"/>
      <w:sz w:val="18"/>
      <w:szCs w:val="18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toc 3"/>
    <w:basedOn w:val="1"/>
    <w:next w:val="1"/>
    <w:qFormat/>
    <w:uiPriority w:val="39"/>
    <w:rPr>
      <w:rFonts w:cs="Times New Roman"/>
    </w:rPr>
  </w:style>
  <w:style w:type="paragraph" w:styleId="10">
    <w:name w:val="Plain Text"/>
    <w:basedOn w:val="1"/>
    <w:next w:val="6"/>
    <w:qFormat/>
    <w:uiPriority w:val="0"/>
    <w:rPr>
      <w:rFonts w:ascii="宋体" w:hAnsi="Courier New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1</TotalTime>
  <ScaleCrop>false</ScaleCrop>
  <LinksUpToDate>false</LinksUpToDate>
  <CharactersWithSpaces>805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2023-10-07T01:25:27Z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2D7DC2E98BD24984ADD227DE05EDAE69_12</vt:lpwstr>
  </property>
</Properties>
</file>