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《四川绵竹抽水蓄能电站项目压覆已查明重要矿产资源评估报告》矿产资源储量评审备案公示信息表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四川能投绵竹抽水蓄能开发有限公司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《四川绵竹抽水蓄能电站项目压覆已查明重要矿产资源评估报告》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四川省地质矿产勘查开发局一0一地质队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曾刚  王家康  吴丹妮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陈照雄  李永建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水库淹没区、大坝及开关站以用地红线外推200m；上下库连接道路、补水工程、业主营地和地下厂房以用地红线外推50m。影响深度：大坝基础向下按移动角计算至200m后垂直向下无限深；地下厂房基础向下200m，向上至地表；淹没区及其他工程基础向下50m。岩石走向移动角δ＝75°、上山移动角γ＝75°、下山移动角β＝75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评审评定，四川绵竹抽水蓄能电站项目未压覆已查明重要矿产资源。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经调查核实，在拟建工程影响区范围内存在1宗采矿权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（四川绵竹富利泰投资发展有限公司绵竹市酿春池医疗热矿泉）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和1宗探矿权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（四川省绵竹市广济地区地热勘探）。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9C29F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8D87211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2023-11-14T02:30:28Z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2D7DC2E98BD24984ADD227DE05EDAE69_12</vt:lpwstr>
  </property>
</Properties>
</file>