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outlineLvl w:val="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sz w:val="20"/>
          <w:szCs w:val="21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《四川省峨边县青山磷矿详查报告》矿产资源储量评审备案公示信息表</w:t>
      </w:r>
    </w:p>
    <w:tbl>
      <w:tblPr>
        <w:tblStyle w:val="9"/>
        <w:tblW w:w="97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7"/>
        <w:gridCol w:w="7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187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申请人</w:t>
            </w:r>
          </w:p>
        </w:tc>
        <w:tc>
          <w:tcPr>
            <w:tcW w:w="7882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 w:rightChars="0" w:firstLine="420" w:firstLineChars="20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峨边昌源矿业有限责任公司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187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报告名称</w:t>
            </w:r>
          </w:p>
        </w:tc>
        <w:tc>
          <w:tcPr>
            <w:tcW w:w="7882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 w:rightChars="0"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《四川省峨边县青山磷矿详查报告》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87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报告编制单位</w:t>
            </w:r>
          </w:p>
        </w:tc>
        <w:tc>
          <w:tcPr>
            <w:tcW w:w="7882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 w:rightChars="0"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四川省地质矿产勘查开发局四0二地质队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87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主要编写人员</w:t>
            </w:r>
          </w:p>
        </w:tc>
        <w:tc>
          <w:tcPr>
            <w:tcW w:w="7882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 w:rightChars="0" w:firstLine="420" w:firstLineChars="200"/>
              <w:jc w:val="center"/>
              <w:rPr>
                <w:rFonts w:hint="eastAsia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何小敏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ab/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李美俄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ab/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柯晓斌</w:t>
            </w:r>
            <w:r>
              <w:rPr>
                <w:rFonts w:hint="eastAsia" w:cs="Times New Roman"/>
                <w:lang w:val="en-US" w:eastAsia="zh-CN"/>
              </w:rPr>
              <w:t>等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187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矿业权证号</w:t>
            </w:r>
          </w:p>
        </w:tc>
        <w:tc>
          <w:tcPr>
            <w:tcW w:w="7882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 w:rightChars="0" w:firstLine="420" w:firstLineChars="20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T5100002008016010000677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87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矿业权人名称</w:t>
            </w:r>
          </w:p>
        </w:tc>
        <w:tc>
          <w:tcPr>
            <w:tcW w:w="7882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 w:rightChars="0"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峨边昌源矿业有限责任公司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187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评审机构</w:t>
            </w:r>
          </w:p>
        </w:tc>
        <w:tc>
          <w:tcPr>
            <w:tcW w:w="7882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 w:rightChars="0" w:firstLine="420" w:firstLineChars="20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四川省矿产资源储量评审中心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187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评审专家</w:t>
            </w:r>
          </w:p>
        </w:tc>
        <w:tc>
          <w:tcPr>
            <w:tcW w:w="7882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 w:rightChars="0"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赖贤友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张宗均 李永建 王 琳 王 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7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本次采用工业指标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/工程压覆影响范围</w:t>
            </w:r>
          </w:p>
        </w:tc>
        <w:tc>
          <w:tcPr>
            <w:tcW w:w="7882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 w:rightChars="0"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边界品位P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vertAlign w:val="subscrip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 12%，最低工业品位P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vertAlign w:val="subscrip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 15%，最小可采厚度0.8m，最小夹石剔除厚度0.8m，Ⅰ级品P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vertAlign w:val="subscrip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≥30%，Ⅱ级品24%≤P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vertAlign w:val="subscrip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＜30%，Ⅲ级品15%≤P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vertAlign w:val="subscrip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 ＜24%。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87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评审备案目的</w:t>
            </w:r>
          </w:p>
        </w:tc>
        <w:tc>
          <w:tcPr>
            <w:tcW w:w="7882" w:type="dxa"/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 w:right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探矿权转采矿权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87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评审备案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矿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7882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磷矿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3" w:hRule="atLeast"/>
          <w:jc w:val="center"/>
        </w:trPr>
        <w:tc>
          <w:tcPr>
            <w:tcW w:w="187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评审备案资源储量</w:t>
            </w:r>
          </w:p>
        </w:tc>
        <w:tc>
          <w:tcPr>
            <w:tcW w:w="7882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420" w:firstLineChars="200"/>
              <w:textAlignment w:val="auto"/>
              <w:outlineLvl w:val="2"/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  <w:t>评审通过的资源量见下表。</w:t>
            </w:r>
          </w:p>
          <w:tbl>
            <w:tblPr>
              <w:tblStyle w:val="9"/>
              <w:tblW w:w="7589" w:type="dxa"/>
              <w:jc w:val="center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28"/>
              <w:gridCol w:w="576"/>
              <w:gridCol w:w="618"/>
              <w:gridCol w:w="910"/>
              <w:gridCol w:w="638"/>
              <w:gridCol w:w="1093"/>
              <w:gridCol w:w="917"/>
              <w:gridCol w:w="1013"/>
              <w:gridCol w:w="1096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atLeast"/>
                <w:jc w:val="center"/>
              </w:trPr>
              <w:tc>
                <w:tcPr>
                  <w:tcW w:w="728" w:type="dxa"/>
                  <w:vMerge w:val="restart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eastAsia="仿宋_GB2312"/>
                      <w:color w:val="auto"/>
                      <w:sz w:val="21"/>
                      <w:szCs w:val="15"/>
                      <w:lang w:eastAsia="zh-CN"/>
                    </w:rPr>
                  </w:pPr>
                  <w:r>
                    <w:rPr>
                      <w:rFonts w:hint="eastAsia" w:eastAsia="仿宋_GB2312"/>
                      <w:color w:val="auto"/>
                      <w:sz w:val="21"/>
                      <w:szCs w:val="15"/>
                      <w:lang w:eastAsia="zh-CN"/>
                    </w:rPr>
                    <w:t>矿石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eastAsia="仿宋_GB2312"/>
                      <w:color w:val="auto"/>
                      <w:sz w:val="21"/>
                      <w:szCs w:val="15"/>
                      <w:lang w:eastAsia="zh-CN"/>
                    </w:rPr>
                  </w:pPr>
                  <w:r>
                    <w:rPr>
                      <w:rFonts w:hint="eastAsia" w:eastAsia="仿宋_GB2312"/>
                      <w:color w:val="auto"/>
                      <w:sz w:val="21"/>
                      <w:szCs w:val="15"/>
                      <w:lang w:eastAsia="zh-CN"/>
                    </w:rPr>
                    <w:t>品级</w:t>
                  </w:r>
                </w:p>
              </w:tc>
              <w:tc>
                <w:tcPr>
                  <w:tcW w:w="3835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textAlignment w:val="center"/>
                    <w:rPr>
                      <w:rFonts w:hint="default" w:eastAsia="仿宋_GB2312"/>
                      <w:color w:val="auto"/>
                      <w:kern w:val="0"/>
                      <w:sz w:val="21"/>
                      <w:szCs w:val="15"/>
                      <w:lang w:bidi="ar"/>
                    </w:rPr>
                  </w:pPr>
                  <w:r>
                    <w:rPr>
                      <w:rFonts w:hint="default" w:eastAsia="仿宋_GB2312"/>
                      <w:color w:val="auto"/>
                      <w:kern w:val="0"/>
                      <w:sz w:val="21"/>
                      <w:szCs w:val="15"/>
                      <w:lang w:bidi="ar"/>
                    </w:rPr>
                    <w:t>主矿产：</w:t>
                  </w:r>
                  <w:r>
                    <w:rPr>
                      <w:rFonts w:hint="eastAsia" w:eastAsia="仿宋_GB2312"/>
                      <w:color w:val="auto"/>
                      <w:kern w:val="0"/>
                      <w:sz w:val="21"/>
                      <w:szCs w:val="15"/>
                      <w:lang w:eastAsia="zh-CN" w:bidi="ar"/>
                    </w:rPr>
                    <w:t>磷</w:t>
                  </w:r>
                  <w:r>
                    <w:rPr>
                      <w:rFonts w:hint="default" w:eastAsia="仿宋_GB2312"/>
                      <w:color w:val="auto"/>
                      <w:kern w:val="0"/>
                      <w:sz w:val="21"/>
                      <w:szCs w:val="15"/>
                      <w:lang w:bidi="ar"/>
                    </w:rPr>
                    <w:t>矿</w:t>
                  </w:r>
                </w:p>
              </w:tc>
              <w:tc>
                <w:tcPr>
                  <w:tcW w:w="3026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eastAsia="仿宋_GB2312"/>
                      <w:color w:val="auto"/>
                      <w:kern w:val="0"/>
                      <w:sz w:val="21"/>
                      <w:szCs w:val="15"/>
                      <w:lang w:eastAsia="zh-CN" w:bidi="ar"/>
                    </w:rPr>
                  </w:pPr>
                  <w:r>
                    <w:rPr>
                      <w:rFonts w:hint="eastAsia" w:eastAsia="仿宋_GB2312"/>
                      <w:color w:val="auto"/>
                      <w:kern w:val="0"/>
                      <w:sz w:val="21"/>
                      <w:szCs w:val="15"/>
                      <w:lang w:eastAsia="zh-CN" w:bidi="ar"/>
                    </w:rPr>
                    <w:t>伴生矿产：氟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 w:hRule="atLeast"/>
                <w:jc w:val="center"/>
              </w:trPr>
              <w:tc>
                <w:tcPr>
                  <w:tcW w:w="728" w:type="dxa"/>
                  <w:vMerge w:val="continue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rPr>
                      <w:rFonts w:hint="default" w:eastAsia="仿宋_GB2312"/>
                      <w:color w:val="auto"/>
                      <w:sz w:val="21"/>
                      <w:szCs w:val="15"/>
                    </w:rPr>
                  </w:pPr>
                </w:p>
              </w:tc>
              <w:tc>
                <w:tcPr>
                  <w:tcW w:w="576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nil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rPr>
                      <w:rFonts w:hint="eastAsia" w:ascii="Times New Roman" w:hAnsi="Times New Roman" w:eastAsia="仿宋_GB2312" w:cs="Times New Roman"/>
                      <w:color w:val="auto"/>
                      <w:sz w:val="21"/>
                      <w:szCs w:val="15"/>
                      <w:lang w:eastAsia="zh-CN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auto"/>
                      <w:sz w:val="21"/>
                      <w:szCs w:val="15"/>
                      <w:lang w:eastAsia="zh-CN"/>
                    </w:rPr>
                    <w:t>探明</w:t>
                  </w: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nil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rPr>
                      <w:rFonts w:hint="eastAsia" w:ascii="Times New Roman" w:hAnsi="Times New Roman" w:eastAsia="仿宋_GB2312" w:cs="Times New Roman"/>
                      <w:color w:val="auto"/>
                      <w:sz w:val="21"/>
                      <w:szCs w:val="15"/>
                      <w:lang w:eastAsia="zh-CN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auto"/>
                      <w:sz w:val="21"/>
                      <w:szCs w:val="15"/>
                      <w:lang w:eastAsia="zh-CN"/>
                    </w:rPr>
                    <w:t>控制</w:t>
                  </w:r>
                </w:p>
              </w:tc>
              <w:tc>
                <w:tcPr>
                  <w:tcW w:w="91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nil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eastAsia="仿宋_GB2312"/>
                      <w:color w:val="auto"/>
                      <w:kern w:val="0"/>
                      <w:sz w:val="21"/>
                      <w:szCs w:val="15"/>
                      <w:lang w:eastAsia="zh-CN" w:bidi="ar"/>
                    </w:rPr>
                  </w:pPr>
                  <w:r>
                    <w:rPr>
                      <w:rFonts w:hint="eastAsia" w:eastAsia="仿宋_GB2312"/>
                      <w:color w:val="auto"/>
                      <w:kern w:val="0"/>
                      <w:sz w:val="21"/>
                      <w:szCs w:val="15"/>
                      <w:lang w:eastAsia="zh-CN" w:bidi="ar"/>
                    </w:rPr>
                    <w:t>推断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textAlignment w:val="center"/>
                    <w:rPr>
                      <w:rFonts w:hint="default" w:eastAsia="仿宋_GB2312"/>
                      <w:color w:val="auto"/>
                      <w:sz w:val="21"/>
                      <w:szCs w:val="15"/>
                    </w:rPr>
                  </w:pPr>
                  <w:r>
                    <w:rPr>
                      <w:rFonts w:hint="eastAsia" w:eastAsia="仿宋_GB2312"/>
                      <w:color w:val="auto"/>
                      <w:kern w:val="0"/>
                      <w:sz w:val="21"/>
                      <w:szCs w:val="15"/>
                      <w:lang w:eastAsia="zh-CN" w:bidi="ar"/>
                    </w:rPr>
                    <w:t>（万吨）</w:t>
                  </w:r>
                </w:p>
              </w:tc>
              <w:tc>
                <w:tcPr>
                  <w:tcW w:w="638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auto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rPr>
                      <w:rFonts w:hint="eastAsia" w:ascii="Times New Roman" w:hAnsi="Times New Roman" w:eastAsia="仿宋_GB2312" w:cs="Times New Roman"/>
                      <w:color w:val="auto"/>
                      <w:sz w:val="21"/>
                      <w:szCs w:val="15"/>
                      <w:lang w:eastAsia="zh-CN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auto"/>
                      <w:sz w:val="21"/>
                      <w:szCs w:val="15"/>
                      <w:lang w:eastAsia="zh-CN"/>
                    </w:rPr>
                    <w:t>合计</w:t>
                  </w:r>
                </w:p>
              </w:tc>
              <w:tc>
                <w:tcPr>
                  <w:tcW w:w="1093" w:type="dxa"/>
                  <w:vMerge w:val="restart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textAlignment w:val="center"/>
                    <w:rPr>
                      <w:rFonts w:hint="default" w:eastAsia="仿宋_GB2312"/>
                      <w:color w:val="auto"/>
                      <w:sz w:val="21"/>
                      <w:szCs w:val="15"/>
                    </w:rPr>
                  </w:pPr>
                  <w:r>
                    <w:rPr>
                      <w:rFonts w:hint="default" w:eastAsia="仿宋_GB2312"/>
                      <w:color w:val="auto"/>
                      <w:kern w:val="0"/>
                      <w:sz w:val="21"/>
                      <w:szCs w:val="15"/>
                      <w:lang w:bidi="ar"/>
                    </w:rPr>
                    <w:t>平均品位(</w:t>
                  </w:r>
                  <w:r>
                    <w:rPr>
                      <w:rFonts w:hint="eastAsia" w:eastAsia="仿宋_GB2312"/>
                      <w:color w:val="auto"/>
                      <w:kern w:val="0"/>
                      <w:sz w:val="21"/>
                      <w:szCs w:val="15"/>
                      <w:lang w:bidi="ar"/>
                    </w:rPr>
                    <w:t>%</w:t>
                  </w:r>
                  <w:r>
                    <w:rPr>
                      <w:rFonts w:hint="default" w:eastAsia="仿宋_GB2312"/>
                      <w:color w:val="auto"/>
                      <w:kern w:val="0"/>
                      <w:sz w:val="21"/>
                      <w:szCs w:val="15"/>
                      <w:lang w:bidi="ar"/>
                    </w:rPr>
                    <w:t>)</w:t>
                  </w:r>
                </w:p>
              </w:tc>
              <w:tc>
                <w:tcPr>
                  <w:tcW w:w="3026" w:type="dxa"/>
                  <w:gridSpan w:val="3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eastAsia="仿宋_GB2312"/>
                      <w:color w:val="auto"/>
                      <w:kern w:val="0"/>
                      <w:sz w:val="21"/>
                      <w:szCs w:val="15"/>
                      <w:lang w:eastAsia="zh-CN" w:bidi="ar"/>
                    </w:rPr>
                  </w:pPr>
                  <w:r>
                    <w:rPr>
                      <w:rFonts w:hint="eastAsia" w:eastAsia="仿宋_GB2312"/>
                      <w:color w:val="auto"/>
                      <w:kern w:val="0"/>
                      <w:sz w:val="21"/>
                      <w:szCs w:val="15"/>
                      <w:lang w:eastAsia="zh-CN" w:bidi="ar"/>
                    </w:rPr>
                    <w:t>推断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jc w:val="center"/>
              </w:trPr>
              <w:tc>
                <w:tcPr>
                  <w:tcW w:w="728" w:type="dxa"/>
                  <w:vMerge w:val="continue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default" w:eastAsia="仿宋_GB2312"/>
                      <w:color w:val="auto"/>
                      <w:sz w:val="21"/>
                      <w:szCs w:val="15"/>
                    </w:rPr>
                  </w:pPr>
                </w:p>
              </w:tc>
              <w:tc>
                <w:tcPr>
                  <w:tcW w:w="576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nil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eastAsia" w:ascii="Times New Roman" w:hAnsi="Times New Roman" w:eastAsia="仿宋_GB2312" w:cs="Times New Roman"/>
                      <w:color w:val="auto"/>
                      <w:sz w:val="21"/>
                      <w:szCs w:val="15"/>
                      <w:lang w:eastAsia="zh-CN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auto"/>
                      <w:sz w:val="21"/>
                      <w:szCs w:val="15"/>
                      <w:lang w:eastAsia="zh-CN"/>
                    </w:rPr>
                    <w:t>(</w:t>
                  </w:r>
                  <w:r>
                    <w:rPr>
                      <w:rFonts w:hint="eastAsia" w:eastAsia="仿宋_GB2312" w:cs="Times New Roman"/>
                      <w:color w:val="auto"/>
                      <w:sz w:val="21"/>
                      <w:szCs w:val="15"/>
                      <w:lang w:eastAsia="zh-CN"/>
                    </w:rPr>
                    <w:t>万</w:t>
                  </w:r>
                  <w:r>
                    <w:rPr>
                      <w:rFonts w:hint="eastAsia" w:ascii="Times New Roman" w:hAnsi="Times New Roman" w:eastAsia="仿宋_GB2312" w:cs="Times New Roman"/>
                      <w:color w:val="auto"/>
                      <w:sz w:val="21"/>
                      <w:szCs w:val="15"/>
                      <w:lang w:eastAsia="zh-CN"/>
                    </w:rPr>
                    <w:t>吨)</w:t>
                  </w:r>
                </w:p>
              </w:tc>
              <w:tc>
                <w:tcPr>
                  <w:tcW w:w="618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nil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eastAsia" w:ascii="Times New Roman" w:hAnsi="Times New Roman" w:eastAsia="仿宋_GB2312" w:cs="Times New Roman"/>
                      <w:color w:val="auto"/>
                      <w:sz w:val="21"/>
                      <w:szCs w:val="15"/>
                      <w:lang w:eastAsia="zh-CN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auto"/>
                      <w:sz w:val="21"/>
                      <w:szCs w:val="15"/>
                      <w:lang w:eastAsia="zh-CN"/>
                    </w:rPr>
                    <w:t>(万吨)</w:t>
                  </w:r>
                </w:p>
              </w:tc>
              <w:tc>
                <w:tcPr>
                  <w:tcW w:w="9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nil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default" w:eastAsia="仿宋_GB2312"/>
                      <w:color w:val="auto"/>
                      <w:sz w:val="21"/>
                      <w:szCs w:val="15"/>
                    </w:rPr>
                  </w:pPr>
                </w:p>
              </w:tc>
              <w:tc>
                <w:tcPr>
                  <w:tcW w:w="638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eastAsia" w:ascii="Times New Roman" w:hAnsi="Times New Roman" w:eastAsia="仿宋_GB2312" w:cs="Times New Roman"/>
                      <w:color w:val="auto"/>
                      <w:sz w:val="21"/>
                      <w:szCs w:val="15"/>
                      <w:lang w:eastAsia="zh-CN"/>
                    </w:rPr>
                  </w:pPr>
                  <w:r>
                    <w:rPr>
                      <w:rFonts w:hint="eastAsia" w:ascii="Times New Roman" w:hAnsi="Times New Roman" w:eastAsia="仿宋_GB2312" w:cs="Times New Roman"/>
                      <w:color w:val="auto"/>
                      <w:sz w:val="21"/>
                      <w:szCs w:val="15"/>
                      <w:lang w:eastAsia="zh-CN"/>
                    </w:rPr>
                    <w:t>(万吨)</w:t>
                  </w:r>
                </w:p>
              </w:tc>
              <w:tc>
                <w:tcPr>
                  <w:tcW w:w="1093" w:type="dxa"/>
                  <w:vMerge w:val="continue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default" w:eastAsia="仿宋_GB2312"/>
                      <w:color w:val="auto"/>
                      <w:sz w:val="21"/>
                      <w:szCs w:val="15"/>
                    </w:rPr>
                  </w:pPr>
                </w:p>
              </w:tc>
              <w:tc>
                <w:tcPr>
                  <w:tcW w:w="917" w:type="dxa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rPr>
                      <w:rFonts w:hint="eastAsia" w:eastAsia="仿宋_GB2312"/>
                      <w:color w:val="auto"/>
                      <w:sz w:val="21"/>
                      <w:szCs w:val="15"/>
                      <w:lang w:eastAsia="zh-CN"/>
                    </w:rPr>
                  </w:pPr>
                  <w:r>
                    <w:rPr>
                      <w:rFonts w:hint="eastAsia" w:eastAsia="仿宋_GB2312"/>
                      <w:color w:val="auto"/>
                      <w:sz w:val="21"/>
                      <w:szCs w:val="15"/>
                      <w:lang w:eastAsia="zh-CN"/>
                    </w:rPr>
                    <w:t>矿石量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rPr>
                      <w:rFonts w:hint="eastAsia" w:eastAsia="仿宋_GB2312"/>
                      <w:color w:val="auto"/>
                      <w:sz w:val="21"/>
                      <w:szCs w:val="15"/>
                      <w:lang w:eastAsia="zh-CN"/>
                    </w:rPr>
                  </w:pPr>
                  <w:r>
                    <w:rPr>
                      <w:rFonts w:hint="eastAsia" w:eastAsia="仿宋_GB2312"/>
                      <w:color w:val="auto"/>
                      <w:sz w:val="21"/>
                      <w:szCs w:val="15"/>
                      <w:lang w:eastAsia="zh-CN"/>
                    </w:rPr>
                    <w:t>（万吨）</w:t>
                  </w:r>
                </w:p>
              </w:tc>
              <w:tc>
                <w:tcPr>
                  <w:tcW w:w="1013" w:type="dxa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rPr>
                      <w:rFonts w:hint="default" w:eastAsia="仿宋_GB2312"/>
                      <w:color w:val="auto"/>
                      <w:sz w:val="21"/>
                      <w:szCs w:val="15"/>
                      <w:lang w:val="en-US" w:eastAsia="zh-CN"/>
                    </w:rPr>
                  </w:pPr>
                  <w:r>
                    <w:rPr>
                      <w:rFonts w:hint="eastAsia" w:eastAsia="仿宋_GB2312"/>
                      <w:color w:val="auto"/>
                      <w:sz w:val="21"/>
                      <w:szCs w:val="15"/>
                      <w:lang w:eastAsia="zh-CN"/>
                    </w:rPr>
                    <w:t>含</w:t>
                  </w:r>
                  <w:r>
                    <w:rPr>
                      <w:rFonts w:hint="eastAsia" w:eastAsia="仿宋_GB2312"/>
                      <w:color w:val="auto"/>
                      <w:sz w:val="21"/>
                      <w:szCs w:val="15"/>
                      <w:lang w:val="en-US" w:eastAsia="zh-CN"/>
                    </w:rPr>
                    <w:t>F（</w:t>
                  </w:r>
                  <w:r>
                    <w:rPr>
                      <w:rFonts w:hint="eastAsia" w:eastAsia="仿宋_GB2312"/>
                      <w:color w:val="auto"/>
                      <w:sz w:val="21"/>
                      <w:szCs w:val="15"/>
                      <w:lang w:eastAsia="zh-CN"/>
                    </w:rPr>
                    <w:t>万吨</w:t>
                  </w:r>
                  <w:r>
                    <w:rPr>
                      <w:rFonts w:hint="eastAsia" w:eastAsia="仿宋_GB2312"/>
                      <w:color w:val="auto"/>
                      <w:sz w:val="21"/>
                      <w:szCs w:val="15"/>
                      <w:lang w:val="en-US" w:eastAsia="zh-CN"/>
                    </w:rPr>
                    <w:t>）</w:t>
                  </w:r>
                </w:p>
              </w:tc>
              <w:tc>
                <w:tcPr>
                  <w:tcW w:w="1096" w:type="dxa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rPr>
                      <w:rFonts w:hint="eastAsia" w:eastAsia="仿宋_GB2312"/>
                      <w:color w:val="auto"/>
                      <w:sz w:val="21"/>
                      <w:szCs w:val="15"/>
                      <w:lang w:val="en-US" w:eastAsia="zh-CN"/>
                    </w:rPr>
                  </w:pPr>
                  <w:r>
                    <w:rPr>
                      <w:rFonts w:hint="eastAsia" w:eastAsia="仿宋_GB2312"/>
                      <w:color w:val="auto"/>
                      <w:sz w:val="21"/>
                      <w:szCs w:val="15"/>
                      <w:lang w:val="en-US" w:eastAsia="zh-CN"/>
                    </w:rPr>
                    <w:t>平均品位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00" w:lineRule="exact"/>
                    <w:ind w:left="0" w:right="0" w:firstLine="0" w:firstLineChars="0"/>
                    <w:jc w:val="center"/>
                    <w:rPr>
                      <w:rFonts w:hint="default" w:eastAsia="仿宋_GB2312"/>
                      <w:color w:val="auto"/>
                      <w:sz w:val="21"/>
                      <w:szCs w:val="15"/>
                      <w:lang w:val="en-US" w:eastAsia="zh-CN"/>
                    </w:rPr>
                  </w:pPr>
                  <w:r>
                    <w:rPr>
                      <w:rFonts w:hint="eastAsia" w:eastAsia="仿宋_GB2312"/>
                      <w:color w:val="auto"/>
                      <w:sz w:val="21"/>
                      <w:szCs w:val="15"/>
                      <w:lang w:val="en-US" w:eastAsia="zh-CN"/>
                    </w:rPr>
                    <w:t>（%）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7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eastAsia="仿宋_GB2312"/>
                      <w:color w:val="auto"/>
                      <w:sz w:val="21"/>
                      <w:szCs w:val="15"/>
                      <w:lang w:eastAsia="zh-CN"/>
                    </w:rPr>
                  </w:pPr>
                  <w:r>
                    <w:rPr>
                      <w:rFonts w:hint="eastAsia" w:eastAsia="仿宋_GB2312"/>
                      <w:color w:val="auto"/>
                      <w:sz w:val="21"/>
                      <w:szCs w:val="15"/>
                    </w:rPr>
                    <w:t>Ⅱ</w:t>
                  </w:r>
                  <w:r>
                    <w:rPr>
                      <w:rFonts w:hint="eastAsia" w:eastAsia="仿宋_GB2312"/>
                      <w:color w:val="auto"/>
                      <w:sz w:val="21"/>
                      <w:szCs w:val="15"/>
                      <w:lang w:eastAsia="zh-CN"/>
                    </w:rPr>
                    <w:t>级品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textAlignment w:val="center"/>
                    <w:rPr>
                      <w:rFonts w:hint="default" w:eastAsia="仿宋_GB2312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618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eastAsia="仿宋_GB2312"/>
                      <w:color w:val="aut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hint="eastAsia" w:eastAsia="仿宋_GB2312"/>
                      <w:color w:val="auto"/>
                      <w:sz w:val="16"/>
                      <w:szCs w:val="16"/>
                    </w:rPr>
                    <w:t>625.7</w:t>
                  </w:r>
                </w:p>
              </w:tc>
              <w:tc>
                <w:tcPr>
                  <w:tcW w:w="91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eastAsia="仿宋"/>
                      <w:color w:val="aut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hint="eastAsia"/>
                      <w:color w:val="auto"/>
                      <w:sz w:val="16"/>
                      <w:szCs w:val="16"/>
                    </w:rPr>
                    <w:t>103.6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default" w:eastAsia="仿宋"/>
                      <w:color w:val="auto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 w:eastAsia="仿宋_GB2312"/>
                      <w:color w:val="auto"/>
                      <w:sz w:val="16"/>
                      <w:szCs w:val="16"/>
                    </w:rPr>
                    <w:t>729.3</w:t>
                  </w:r>
                </w:p>
              </w:tc>
              <w:tc>
                <w:tcPr>
                  <w:tcW w:w="10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eastAsia" w:eastAsia="仿宋"/>
                      <w:color w:val="aut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hint="eastAsia"/>
                      <w:color w:val="auto"/>
                      <w:sz w:val="16"/>
                      <w:szCs w:val="16"/>
                    </w:rPr>
                    <w:t>24.73</w:t>
                  </w:r>
                </w:p>
              </w:tc>
              <w:tc>
                <w:tcPr>
                  <w:tcW w:w="9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eastAsia" w:eastAsia="仿宋_GB2312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eastAsia" w:eastAsia="仿宋_GB2312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10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eastAsia" w:eastAsia="仿宋_GB2312"/>
                      <w:color w:val="auto"/>
                      <w:sz w:val="16"/>
                      <w:szCs w:val="16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0" w:hRule="atLeast"/>
                <w:jc w:val="center"/>
              </w:trPr>
              <w:tc>
                <w:tcPr>
                  <w:tcW w:w="7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eastAsia="仿宋_GB2312"/>
                      <w:color w:val="auto"/>
                      <w:sz w:val="21"/>
                      <w:szCs w:val="15"/>
                      <w:lang w:eastAsia="zh-CN"/>
                    </w:rPr>
                  </w:pPr>
                  <w:r>
                    <w:rPr>
                      <w:rFonts w:hint="eastAsia" w:eastAsia="仿宋_GB2312"/>
                      <w:color w:val="auto"/>
                      <w:sz w:val="21"/>
                      <w:szCs w:val="15"/>
                    </w:rPr>
                    <w:t>Ⅲ</w:t>
                  </w:r>
                  <w:r>
                    <w:rPr>
                      <w:rFonts w:hint="eastAsia" w:eastAsia="仿宋_GB2312"/>
                      <w:color w:val="auto"/>
                      <w:sz w:val="21"/>
                      <w:szCs w:val="15"/>
                      <w:lang w:eastAsia="zh-CN"/>
                    </w:rPr>
                    <w:t>级品</w:t>
                  </w:r>
                </w:p>
              </w:tc>
              <w:tc>
                <w:tcPr>
                  <w:tcW w:w="5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textAlignment w:val="center"/>
                    <w:rPr>
                      <w:rFonts w:hint="default" w:eastAsia="仿宋_GB2312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eastAsia="仿宋_GB2312"/>
                      <w:color w:val="aut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hint="eastAsia" w:eastAsia="仿宋_GB2312"/>
                      <w:color w:val="auto"/>
                      <w:sz w:val="16"/>
                      <w:szCs w:val="16"/>
                    </w:rPr>
                    <w:t>250.4</w:t>
                  </w:r>
                </w:p>
              </w:tc>
              <w:tc>
                <w:tcPr>
                  <w:tcW w:w="9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eastAsia="仿宋"/>
                      <w:color w:val="aut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hint="eastAsia"/>
                      <w:color w:val="auto"/>
                      <w:sz w:val="16"/>
                      <w:szCs w:val="16"/>
                    </w:rPr>
                    <w:t>767.5</w:t>
                  </w:r>
                </w:p>
              </w:tc>
              <w:tc>
                <w:tcPr>
                  <w:tcW w:w="63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default" w:eastAsia="仿宋"/>
                      <w:color w:val="auto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z w:val="16"/>
                      <w:szCs w:val="16"/>
                    </w:rPr>
                    <w:t>1017.9</w:t>
                  </w:r>
                </w:p>
              </w:tc>
              <w:tc>
                <w:tcPr>
                  <w:tcW w:w="10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eastAsia" w:eastAsia="仿宋"/>
                      <w:color w:val="auto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hint="eastAsia"/>
                      <w:color w:val="auto"/>
                      <w:sz w:val="16"/>
                      <w:szCs w:val="16"/>
                    </w:rPr>
                    <w:t>20.85</w:t>
                  </w:r>
                </w:p>
              </w:tc>
              <w:tc>
                <w:tcPr>
                  <w:tcW w:w="9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default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default"/>
                      <w:color w:val="auto"/>
                      <w:sz w:val="16"/>
                      <w:szCs w:val="16"/>
                    </w:rPr>
                  </w:pPr>
                </w:p>
              </w:tc>
              <w:tc>
                <w:tcPr>
                  <w:tcW w:w="10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default"/>
                      <w:color w:val="auto"/>
                      <w:sz w:val="16"/>
                      <w:szCs w:val="16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3" w:hRule="atLeast"/>
                <w:jc w:val="center"/>
              </w:trPr>
              <w:tc>
                <w:tcPr>
                  <w:tcW w:w="72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textAlignment w:val="center"/>
                    <w:rPr>
                      <w:rFonts w:hint="default" w:eastAsia="仿宋_GB2312"/>
                      <w:color w:val="auto"/>
                      <w:sz w:val="21"/>
                      <w:szCs w:val="15"/>
                    </w:rPr>
                  </w:pPr>
                  <w:r>
                    <w:rPr>
                      <w:rFonts w:hint="eastAsia" w:eastAsia="仿宋_GB2312"/>
                      <w:color w:val="auto"/>
                      <w:kern w:val="0"/>
                      <w:sz w:val="21"/>
                      <w:szCs w:val="15"/>
                      <w:lang w:eastAsia="zh-CN" w:bidi="ar"/>
                    </w:rPr>
                    <w:t>合</w:t>
                  </w:r>
                  <w:r>
                    <w:rPr>
                      <w:rFonts w:hint="default" w:eastAsia="仿宋_GB2312"/>
                      <w:color w:val="auto"/>
                      <w:kern w:val="0"/>
                      <w:sz w:val="21"/>
                      <w:szCs w:val="15"/>
                      <w:lang w:bidi="ar"/>
                    </w:rPr>
                    <w:t>计</w:t>
                  </w:r>
                </w:p>
              </w:tc>
              <w:tc>
                <w:tcPr>
                  <w:tcW w:w="57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default"/>
                      <w:color w:val="auto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61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textAlignment w:val="center"/>
                    <w:rPr>
                      <w:rFonts w:hint="default" w:eastAsia="仿宋_GB2312"/>
                      <w:color w:val="auto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 w:eastAsia="仿宋_GB2312"/>
                      <w:color w:val="auto"/>
                      <w:sz w:val="16"/>
                      <w:szCs w:val="16"/>
                      <w:lang w:val="en-US" w:eastAsia="zh-CN"/>
                    </w:rPr>
                    <w:t>876.1</w:t>
                  </w:r>
                </w:p>
              </w:tc>
              <w:tc>
                <w:tcPr>
                  <w:tcW w:w="9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textAlignment w:val="center"/>
                    <w:rPr>
                      <w:rFonts w:hint="default" w:eastAsia="仿宋"/>
                      <w:color w:val="auto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z w:val="16"/>
                      <w:szCs w:val="16"/>
                      <w:lang w:val="en-US" w:eastAsia="zh-CN"/>
                    </w:rPr>
                    <w:t>871.1</w:t>
                  </w:r>
                </w:p>
              </w:tc>
              <w:tc>
                <w:tcPr>
                  <w:tcW w:w="63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default" w:eastAsia="仿宋"/>
                      <w:color w:val="auto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z w:val="16"/>
                      <w:szCs w:val="16"/>
                      <w:lang w:val="en-US" w:eastAsia="zh-CN"/>
                    </w:rPr>
                    <w:t>1747.2</w:t>
                  </w:r>
                </w:p>
              </w:tc>
              <w:tc>
                <w:tcPr>
                  <w:tcW w:w="109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default" w:eastAsia="仿宋"/>
                      <w:color w:val="auto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z w:val="16"/>
                      <w:szCs w:val="16"/>
                      <w:lang w:val="en-US" w:eastAsia="zh-CN"/>
                    </w:rPr>
                    <w:t>22.47</w:t>
                  </w:r>
                </w:p>
              </w:tc>
              <w:tc>
                <w:tcPr>
                  <w:tcW w:w="9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default"/>
                      <w:color w:val="auto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z w:val="16"/>
                      <w:szCs w:val="16"/>
                      <w:lang w:val="en-US" w:eastAsia="zh-CN"/>
                    </w:rPr>
                    <w:t>1747.2</w:t>
                  </w:r>
                </w:p>
              </w:tc>
              <w:tc>
                <w:tcPr>
                  <w:tcW w:w="101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default"/>
                      <w:color w:val="auto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z w:val="16"/>
                      <w:szCs w:val="16"/>
                      <w:highlight w:val="none"/>
                      <w:lang w:val="en-US" w:eastAsia="zh-CN"/>
                    </w:rPr>
                    <w:t>50.1</w:t>
                  </w:r>
                </w:p>
              </w:tc>
              <w:tc>
                <w:tcPr>
                  <w:tcW w:w="109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180" w:lineRule="exact"/>
                    <w:ind w:left="0" w:right="0" w:firstLine="0" w:firstLineChars="0"/>
                    <w:jc w:val="center"/>
                    <w:rPr>
                      <w:rFonts w:hint="default"/>
                      <w:color w:val="auto"/>
                      <w:sz w:val="16"/>
                      <w:szCs w:val="16"/>
                      <w:lang w:val="en-US" w:eastAsia="zh-CN"/>
                    </w:rPr>
                  </w:pPr>
                  <w:r>
                    <w:rPr>
                      <w:rFonts w:hint="eastAsia"/>
                      <w:color w:val="auto"/>
                      <w:sz w:val="16"/>
                      <w:szCs w:val="16"/>
                      <w:lang w:val="en-US" w:eastAsia="zh-CN"/>
                    </w:rPr>
                    <w:t>2.87</w:t>
                  </w:r>
                </w:p>
              </w:tc>
            </w:tr>
          </w:tbl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/>
              <w:ind w:left="0" w:right="0" w:rightChars="0" w:firstLine="420" w:firstLineChars="200"/>
              <w:jc w:val="left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7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7882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55797"/>
    <w:rsid w:val="01242CC7"/>
    <w:rsid w:val="052C6F98"/>
    <w:rsid w:val="08E25683"/>
    <w:rsid w:val="09440A8C"/>
    <w:rsid w:val="09952026"/>
    <w:rsid w:val="0B0C5C37"/>
    <w:rsid w:val="10736DF9"/>
    <w:rsid w:val="12C34231"/>
    <w:rsid w:val="1B8732E9"/>
    <w:rsid w:val="1D467FFF"/>
    <w:rsid w:val="20CB3595"/>
    <w:rsid w:val="2CD5384D"/>
    <w:rsid w:val="2DD24B13"/>
    <w:rsid w:val="2E747222"/>
    <w:rsid w:val="308402F0"/>
    <w:rsid w:val="310A06FD"/>
    <w:rsid w:val="327A3119"/>
    <w:rsid w:val="32917387"/>
    <w:rsid w:val="3375D5DD"/>
    <w:rsid w:val="36172D8A"/>
    <w:rsid w:val="3A2F06C0"/>
    <w:rsid w:val="3AA93E77"/>
    <w:rsid w:val="3C07147C"/>
    <w:rsid w:val="3E13386B"/>
    <w:rsid w:val="3FA4458D"/>
    <w:rsid w:val="411B45E9"/>
    <w:rsid w:val="41410ACB"/>
    <w:rsid w:val="42531B7C"/>
    <w:rsid w:val="429304E7"/>
    <w:rsid w:val="437E6621"/>
    <w:rsid w:val="462F5954"/>
    <w:rsid w:val="46487306"/>
    <w:rsid w:val="466C296A"/>
    <w:rsid w:val="48C77C26"/>
    <w:rsid w:val="49991828"/>
    <w:rsid w:val="4C142777"/>
    <w:rsid w:val="4D970B37"/>
    <w:rsid w:val="4F912937"/>
    <w:rsid w:val="4FEA41EF"/>
    <w:rsid w:val="50573702"/>
    <w:rsid w:val="51156C2C"/>
    <w:rsid w:val="53F430D0"/>
    <w:rsid w:val="5483718F"/>
    <w:rsid w:val="55FE59C1"/>
    <w:rsid w:val="56680AAE"/>
    <w:rsid w:val="58D24D40"/>
    <w:rsid w:val="59770E83"/>
    <w:rsid w:val="5B6106CD"/>
    <w:rsid w:val="5E200B57"/>
    <w:rsid w:val="5F3E76AB"/>
    <w:rsid w:val="62E60A5A"/>
    <w:rsid w:val="62FA7748"/>
    <w:rsid w:val="655667A0"/>
    <w:rsid w:val="67AD6EC0"/>
    <w:rsid w:val="67F76100"/>
    <w:rsid w:val="67FA5203"/>
    <w:rsid w:val="69C76671"/>
    <w:rsid w:val="6B3C616D"/>
    <w:rsid w:val="6E1626E6"/>
    <w:rsid w:val="70555797"/>
    <w:rsid w:val="70897467"/>
    <w:rsid w:val="72730010"/>
    <w:rsid w:val="73AF3A03"/>
    <w:rsid w:val="743E4454"/>
    <w:rsid w:val="75F21F62"/>
    <w:rsid w:val="76604EA1"/>
    <w:rsid w:val="7C1975BB"/>
    <w:rsid w:val="7EBE43BD"/>
    <w:rsid w:val="BDEE0C0D"/>
    <w:rsid w:val="BFF5E490"/>
    <w:rsid w:val="C69F8F9B"/>
    <w:rsid w:val="FF7AF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eastAsia" w:ascii="宋体" w:hAnsi="宋体" w:eastAsia="宋体" w:cs="宋体"/>
      <w:kern w:val="2"/>
      <w:sz w:val="28"/>
      <w:szCs w:val="28"/>
      <w:lang w:val="en-US" w:eastAsia="zh-CN" w:bidi="ar"/>
    </w:rPr>
  </w:style>
  <w:style w:type="paragraph" w:styleId="3">
    <w:name w:val="index 5"/>
    <w:basedOn w:val="1"/>
    <w:next w:val="1"/>
    <w:qFormat/>
    <w:uiPriority w:val="0"/>
    <w:pPr>
      <w:ind w:left="800" w:leftChars="800"/>
    </w:pPr>
  </w:style>
  <w:style w:type="paragraph" w:styleId="4">
    <w:name w:val="annotation text"/>
    <w:basedOn w:val="1"/>
    <w:qFormat/>
    <w:uiPriority w:val="99"/>
    <w:pPr>
      <w:jc w:val="left"/>
    </w:pPr>
  </w:style>
  <w:style w:type="paragraph" w:styleId="5">
    <w:name w:val="Body Text"/>
    <w:basedOn w:val="1"/>
    <w:unhideWhenUsed/>
    <w:qFormat/>
    <w:uiPriority w:val="0"/>
    <w:pPr>
      <w:spacing w:after="120" w:line="360" w:lineRule="auto"/>
    </w:pPr>
    <w:rPr>
      <w:rFonts w:ascii="宋体" w:hAnsi="Times New Roman"/>
      <w:sz w:val="24"/>
    </w:rPr>
  </w:style>
  <w:style w:type="paragraph" w:styleId="6">
    <w:name w:val="Body Text Indent"/>
    <w:basedOn w:val="1"/>
    <w:qFormat/>
    <w:uiPriority w:val="0"/>
    <w:pPr>
      <w:ind w:firstLine="538" w:firstLineChars="192"/>
    </w:pPr>
    <w:rPr>
      <w:rFonts w:ascii="宋体" w:hAnsi="宋体"/>
      <w:sz w:val="28"/>
    </w:rPr>
  </w:style>
  <w:style w:type="paragraph" w:styleId="7">
    <w:name w:val="Plain Text"/>
    <w:basedOn w:val="1"/>
    <w:next w:val="3"/>
    <w:qFormat/>
    <w:uiPriority w:val="0"/>
    <w:rPr>
      <w:rFonts w:ascii="宋体" w:hAnsi="Courier New"/>
      <w:sz w:val="28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fontstyle01"/>
    <w:qFormat/>
    <w:uiPriority w:val="0"/>
    <w:rPr>
      <w:rFonts w:hint="eastAsia" w:ascii="仿宋_GB2312" w:eastAsia="仿宋_GB2312"/>
      <w:color w:val="000000"/>
      <w:sz w:val="24"/>
      <w:szCs w:val="2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2022-01-19T01:14:00Z</dcterms:created>
  <dc:creator>雁过留声</dc:creator>
  <cp:lastModifiedBy>袁珊</cp:lastModifiedBy>
  <cp:lastPrinted>2022-03-17T16:27:00Z</cp:lastPrinted>
  <dcterms:modified xsi:type="dcterms:W3CDTF">2023-02-24T09:03:43Z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