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600" w:lineRule="exact"/>
        <w:outlineLvl w:val="0"/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附件</w:t>
      </w: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0"/>
        <w:rPr>
          <w:spacing w:val="-11"/>
          <w:sz w:val="20"/>
          <w:szCs w:val="21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pacing w:val="-11"/>
          <w:sz w:val="32"/>
          <w:szCs w:val="32"/>
          <w:lang w:eastAsia="zh-CN"/>
        </w:rPr>
        <w:t>《</w:t>
      </w:r>
      <w:r>
        <w:rPr>
          <w:rFonts w:hint="eastAsia" w:ascii="方正小标宋简体" w:hAnsi="方正小标宋简体" w:eastAsia="方正小标宋简体" w:cs="方正小标宋简体"/>
          <w:color w:val="000000"/>
          <w:spacing w:val="-11"/>
          <w:sz w:val="32"/>
          <w:szCs w:val="32"/>
        </w:rPr>
        <w:t>四川省达州市达川区达县井田小河嘴煤矿资源储量核实报告》矿产资源储量评审备案公示信息表</w:t>
      </w:r>
    </w:p>
    <w:tbl>
      <w:tblPr>
        <w:tblStyle w:val="8"/>
        <w:tblW w:w="98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5"/>
        <w:gridCol w:w="79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exact"/>
          <w:jc w:val="center"/>
        </w:trPr>
        <w:tc>
          <w:tcPr>
            <w:tcW w:w="195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申请人</w:t>
            </w:r>
          </w:p>
        </w:tc>
        <w:tc>
          <w:tcPr>
            <w:tcW w:w="7919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四川达竹煤电（集团）有限责任公司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195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报告名称</w:t>
            </w:r>
          </w:p>
        </w:tc>
        <w:tc>
          <w:tcPr>
            <w:tcW w:w="7919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《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四川省达州市达川区达县井田小河嘴煤矿资源储量核实报告</w:t>
            </w:r>
            <w:r>
              <w:rPr>
                <w:rFonts w:hint="eastAsia" w:cs="Times New Roman"/>
                <w:lang w:val="en-US" w:eastAsia="zh-CN"/>
              </w:rPr>
              <w:t>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exact"/>
          <w:jc w:val="center"/>
        </w:trPr>
        <w:tc>
          <w:tcPr>
            <w:tcW w:w="195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报告编制单位</w:t>
            </w:r>
          </w:p>
        </w:tc>
        <w:tc>
          <w:tcPr>
            <w:tcW w:w="7919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四川省煤田地质工程勘察设计研究院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exact"/>
          <w:jc w:val="center"/>
        </w:trPr>
        <w:tc>
          <w:tcPr>
            <w:tcW w:w="195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主要编写人员</w:t>
            </w:r>
          </w:p>
        </w:tc>
        <w:tc>
          <w:tcPr>
            <w:tcW w:w="7919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臧  凯  朱 斌  司晓芳</w:t>
            </w:r>
            <w:r>
              <w:rPr>
                <w:rFonts w:hint="eastAsia" w:cs="Times New Roman"/>
                <w:lang w:val="en-US" w:eastAsia="zh-CN"/>
              </w:rPr>
              <w:t>等</w:t>
            </w:r>
            <w:bookmarkStart w:id="0" w:name="_GoBack"/>
            <w:bookmarkEnd w:id="0"/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exact"/>
          <w:jc w:val="center"/>
        </w:trPr>
        <w:tc>
          <w:tcPr>
            <w:tcW w:w="195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矿业权证号</w:t>
            </w:r>
          </w:p>
        </w:tc>
        <w:tc>
          <w:tcPr>
            <w:tcW w:w="7919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C5100002009011120003257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exact"/>
          <w:jc w:val="center"/>
        </w:trPr>
        <w:tc>
          <w:tcPr>
            <w:tcW w:w="195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矿业权人名称</w:t>
            </w:r>
          </w:p>
        </w:tc>
        <w:tc>
          <w:tcPr>
            <w:tcW w:w="7919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四川达竹煤电（集团）有限责任公司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exact"/>
          <w:jc w:val="center"/>
        </w:trPr>
        <w:tc>
          <w:tcPr>
            <w:tcW w:w="195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评审机构</w:t>
            </w:r>
          </w:p>
        </w:tc>
        <w:tc>
          <w:tcPr>
            <w:tcW w:w="7919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四川省矿产资源储量评审中心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exact"/>
          <w:jc w:val="center"/>
        </w:trPr>
        <w:tc>
          <w:tcPr>
            <w:tcW w:w="195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评审专家</w:t>
            </w:r>
          </w:p>
        </w:tc>
        <w:tc>
          <w:tcPr>
            <w:tcW w:w="7919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周凤云  吴永贵  魏文金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" w:hRule="atLeast"/>
          <w:jc w:val="center"/>
        </w:trPr>
        <w:tc>
          <w:tcPr>
            <w:tcW w:w="195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本次采用工业指标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/工程压覆影响范围</w:t>
            </w:r>
          </w:p>
        </w:tc>
        <w:tc>
          <w:tcPr>
            <w:tcW w:w="7919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 w:firstLine="420" w:firstLineChars="200"/>
              <w:jc w:val="left"/>
              <w:rPr>
                <w:rFonts w:hint="eastAsia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最小可采厚度0.40m，最高灰分（Ad）40%（若Ad＞40%，最低发热量＞12.5MJ/kg），最高硫分（St,d）3%。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95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评审备案目的</w:t>
            </w:r>
          </w:p>
        </w:tc>
        <w:tc>
          <w:tcPr>
            <w:tcW w:w="7919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采矿权变更</w:t>
            </w:r>
            <w:r>
              <w:rPr>
                <w:rFonts w:hint="eastAsia" w:cs="Times New Roman"/>
                <w:lang w:val="en-US" w:eastAsia="zh-CN"/>
              </w:rPr>
              <w:t>矿种或范围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195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评审备案矿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eastAsia="zh-CN"/>
              </w:rPr>
              <w:t>种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名称</w:t>
            </w:r>
          </w:p>
        </w:tc>
        <w:tc>
          <w:tcPr>
            <w:tcW w:w="7919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煤矿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6" w:hRule="atLeast"/>
          <w:jc w:val="center"/>
        </w:trPr>
        <w:tc>
          <w:tcPr>
            <w:tcW w:w="195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评审备案资源储量</w:t>
            </w:r>
          </w:p>
        </w:tc>
        <w:tc>
          <w:tcPr>
            <w:tcW w:w="7919" w:type="dxa"/>
            <w:noWrap w:val="0"/>
            <w:vAlign w:val="center"/>
          </w:tcPr>
          <w:p>
            <w:pPr>
              <w:pStyle w:val="2"/>
              <w:spacing w:after="0" w:line="600" w:lineRule="exact"/>
              <w:ind w:left="0" w:leftChars="0" w:firstLine="600"/>
              <w:rPr>
                <w:rFonts w:hint="eastAsia"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  <w:t xml:space="preserve"> 评审通过的采矿权范围内资源储量见下表。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  <w:br w:type="page"/>
            </w:r>
          </w:p>
          <w:tbl>
            <w:tblPr>
              <w:tblStyle w:val="8"/>
              <w:tblW w:w="4639" w:type="pct"/>
              <w:jc w:val="center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10"/>
              <w:gridCol w:w="988"/>
              <w:gridCol w:w="995"/>
              <w:gridCol w:w="932"/>
              <w:gridCol w:w="864"/>
              <w:gridCol w:w="795"/>
              <w:gridCol w:w="720"/>
              <w:gridCol w:w="734"/>
            </w:tblGrid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3" w:hRule="atLeast"/>
                <w:jc w:val="center"/>
              </w:trPr>
              <w:tc>
                <w:tcPr>
                  <w:tcW w:w="777" w:type="pct"/>
                  <w:vMerge w:val="restart"/>
                  <w:noWrap w:val="0"/>
                  <w:tcMar>
                    <w:top w:w="0" w:type="dxa"/>
                    <w:left w:w="17" w:type="dxa"/>
                    <w:bottom w:w="0" w:type="dxa"/>
                    <w:right w:w="17" w:type="dxa"/>
                  </w:tcMar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adjustRightInd w:val="0"/>
                    <w:snapToGrid w:val="0"/>
                    <w:spacing w:before="0" w:beforeAutospacing="0" w:after="0" w:afterAutospacing="0" w:line="240" w:lineRule="atLeast"/>
                    <w:ind w:left="0" w:right="0"/>
                    <w:jc w:val="center"/>
                    <w:rPr>
                      <w:rFonts w:hint="default" w:ascii="Times New Roman" w:hAnsi="Times New Roman" w:eastAsia="仿宋_GB2312"/>
                      <w:color w:val="auto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仿宋_GB2312"/>
                      <w:color w:val="auto"/>
                      <w:sz w:val="18"/>
                      <w:szCs w:val="18"/>
                    </w:rPr>
                    <w:t>项    目</w:t>
                  </w:r>
                </w:p>
              </w:tc>
              <w:tc>
                <w:tcPr>
                  <w:tcW w:w="2647" w:type="pct"/>
                  <w:gridSpan w:val="4"/>
                  <w:noWrap w:val="0"/>
                  <w:tcMar>
                    <w:top w:w="0" w:type="dxa"/>
                    <w:left w:w="17" w:type="dxa"/>
                    <w:bottom w:w="0" w:type="dxa"/>
                    <w:right w:w="17" w:type="dxa"/>
                  </w:tcMar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adjustRightInd w:val="0"/>
                    <w:snapToGrid w:val="0"/>
                    <w:spacing w:before="0" w:beforeAutospacing="0" w:after="0" w:afterAutospacing="0" w:line="240" w:lineRule="atLeast"/>
                    <w:ind w:left="0" w:right="0"/>
                    <w:jc w:val="center"/>
                    <w:rPr>
                      <w:rFonts w:hint="default" w:ascii="Times New Roman" w:hAnsi="Times New Roman" w:eastAsia="仿宋_GB2312"/>
                      <w:color w:val="auto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仿宋_GB2312"/>
                      <w:color w:val="auto"/>
                      <w:sz w:val="18"/>
                      <w:szCs w:val="18"/>
                    </w:rPr>
                    <w:t>资源量（万吨）</w:t>
                  </w:r>
                </w:p>
              </w:tc>
              <w:tc>
                <w:tcPr>
                  <w:tcW w:w="1575" w:type="pct"/>
                  <w:gridSpan w:val="3"/>
                  <w:noWrap w:val="0"/>
                  <w:tcMar>
                    <w:top w:w="0" w:type="dxa"/>
                    <w:left w:w="17" w:type="dxa"/>
                    <w:bottom w:w="0" w:type="dxa"/>
                    <w:right w:w="17" w:type="dxa"/>
                  </w:tcMar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adjustRightInd w:val="0"/>
                    <w:snapToGrid w:val="0"/>
                    <w:spacing w:before="0" w:beforeAutospacing="0" w:after="0" w:afterAutospacing="0" w:line="240" w:lineRule="atLeast"/>
                    <w:ind w:left="0" w:right="0"/>
                    <w:jc w:val="center"/>
                    <w:rPr>
                      <w:rFonts w:hint="default" w:ascii="Times New Roman" w:hAnsi="Times New Roman" w:eastAsia="仿宋_GB2312"/>
                      <w:color w:val="auto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仿宋_GB2312"/>
                      <w:color w:val="auto"/>
                      <w:sz w:val="18"/>
                      <w:szCs w:val="18"/>
                    </w:rPr>
                    <w:t>储量（万吨）</w:t>
                  </w: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2" w:hRule="atLeast"/>
                <w:jc w:val="center"/>
              </w:trPr>
              <w:tc>
                <w:tcPr>
                  <w:tcW w:w="777" w:type="pct"/>
                  <w:vMerge w:val="continue"/>
                  <w:noWrap w:val="0"/>
                  <w:tcMar>
                    <w:top w:w="0" w:type="dxa"/>
                    <w:left w:w="17" w:type="dxa"/>
                    <w:bottom w:w="0" w:type="dxa"/>
                    <w:right w:w="17" w:type="dxa"/>
                  </w:tcMar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adjustRightInd w:val="0"/>
                    <w:snapToGrid w:val="0"/>
                    <w:spacing w:before="0" w:beforeAutospacing="0" w:after="0" w:afterAutospacing="0" w:line="240" w:lineRule="atLeast"/>
                    <w:ind w:left="0" w:right="0"/>
                    <w:jc w:val="center"/>
                    <w:rPr>
                      <w:rFonts w:hint="default" w:ascii="Times New Roman" w:hAnsi="Times New Roman" w:eastAsia="仿宋_GB2312"/>
                      <w:color w:val="auto"/>
                      <w:sz w:val="18"/>
                      <w:szCs w:val="18"/>
                    </w:rPr>
                  </w:pPr>
                </w:p>
              </w:tc>
              <w:tc>
                <w:tcPr>
                  <w:tcW w:w="692" w:type="pct"/>
                  <w:noWrap w:val="0"/>
                  <w:tcMar>
                    <w:top w:w="0" w:type="dxa"/>
                    <w:left w:w="17" w:type="dxa"/>
                    <w:bottom w:w="0" w:type="dxa"/>
                    <w:right w:w="17" w:type="dxa"/>
                  </w:tcMar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adjustRightInd w:val="0"/>
                    <w:snapToGrid w:val="0"/>
                    <w:spacing w:before="0" w:beforeAutospacing="0" w:after="0" w:afterAutospacing="0" w:line="240" w:lineRule="atLeast"/>
                    <w:ind w:left="0" w:right="0"/>
                    <w:jc w:val="center"/>
                    <w:rPr>
                      <w:rFonts w:hint="eastAsia" w:ascii="Times New Roman" w:hAnsi="Times New Roman" w:eastAsia="仿宋_GB2312"/>
                      <w:color w:val="auto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仿宋_GB2312"/>
                      <w:color w:val="auto"/>
                      <w:sz w:val="18"/>
                      <w:szCs w:val="18"/>
                    </w:rPr>
                    <w:t>探明</w:t>
                  </w:r>
                </w:p>
                <w:p>
                  <w:pPr>
                    <w:keepNext w:val="0"/>
                    <w:keepLines w:val="0"/>
                    <w:suppressLineNumbers w:val="0"/>
                    <w:adjustRightInd w:val="0"/>
                    <w:snapToGrid w:val="0"/>
                    <w:spacing w:before="0" w:beforeAutospacing="0" w:after="0" w:afterAutospacing="0" w:line="240" w:lineRule="atLeast"/>
                    <w:ind w:left="0" w:right="0"/>
                    <w:jc w:val="center"/>
                    <w:rPr>
                      <w:rFonts w:hint="default" w:ascii="Times New Roman" w:hAnsi="Times New Roman" w:eastAsia="仿宋_GB2312"/>
                      <w:color w:val="auto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仿宋_GB2312"/>
                      <w:color w:val="auto"/>
                      <w:sz w:val="18"/>
                      <w:szCs w:val="18"/>
                    </w:rPr>
                    <w:t>资源量</w:t>
                  </w:r>
                </w:p>
              </w:tc>
              <w:tc>
                <w:tcPr>
                  <w:tcW w:w="696" w:type="pct"/>
                  <w:noWrap w:val="0"/>
                  <w:tcMar>
                    <w:top w:w="0" w:type="dxa"/>
                    <w:left w:w="17" w:type="dxa"/>
                    <w:bottom w:w="0" w:type="dxa"/>
                    <w:right w:w="17" w:type="dxa"/>
                  </w:tcMar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adjustRightInd w:val="0"/>
                    <w:snapToGrid w:val="0"/>
                    <w:spacing w:before="0" w:beforeAutospacing="0" w:after="0" w:afterAutospacing="0" w:line="240" w:lineRule="atLeast"/>
                    <w:ind w:left="0" w:right="0"/>
                    <w:jc w:val="center"/>
                    <w:rPr>
                      <w:rFonts w:hint="eastAsia" w:ascii="Times New Roman" w:hAnsi="Times New Roman" w:eastAsia="仿宋_GB2312"/>
                      <w:color w:val="auto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仿宋_GB2312"/>
                      <w:color w:val="auto"/>
                      <w:sz w:val="18"/>
                      <w:szCs w:val="18"/>
                    </w:rPr>
                    <w:t>控制</w:t>
                  </w:r>
                </w:p>
                <w:p>
                  <w:pPr>
                    <w:keepNext w:val="0"/>
                    <w:keepLines w:val="0"/>
                    <w:suppressLineNumbers w:val="0"/>
                    <w:adjustRightInd w:val="0"/>
                    <w:snapToGrid w:val="0"/>
                    <w:spacing w:before="0" w:beforeAutospacing="0" w:after="0" w:afterAutospacing="0" w:line="240" w:lineRule="atLeast"/>
                    <w:ind w:left="0" w:right="0"/>
                    <w:jc w:val="center"/>
                    <w:rPr>
                      <w:rFonts w:hint="default" w:ascii="Times New Roman" w:hAnsi="Times New Roman" w:eastAsia="仿宋_GB2312"/>
                      <w:color w:val="auto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仿宋_GB2312"/>
                      <w:color w:val="auto"/>
                      <w:sz w:val="18"/>
                      <w:szCs w:val="18"/>
                    </w:rPr>
                    <w:t>资源量</w:t>
                  </w:r>
                </w:p>
              </w:tc>
              <w:tc>
                <w:tcPr>
                  <w:tcW w:w="652" w:type="pct"/>
                  <w:noWrap w:val="0"/>
                  <w:tcMar>
                    <w:top w:w="0" w:type="dxa"/>
                    <w:left w:w="17" w:type="dxa"/>
                    <w:bottom w:w="0" w:type="dxa"/>
                    <w:right w:w="17" w:type="dxa"/>
                  </w:tcMar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adjustRightInd w:val="0"/>
                    <w:snapToGrid w:val="0"/>
                    <w:spacing w:before="0" w:beforeAutospacing="0" w:after="0" w:afterAutospacing="0" w:line="240" w:lineRule="atLeast"/>
                    <w:ind w:left="0" w:right="0"/>
                    <w:jc w:val="center"/>
                    <w:rPr>
                      <w:rFonts w:hint="eastAsia" w:ascii="Times New Roman" w:hAnsi="Times New Roman" w:eastAsia="仿宋_GB2312"/>
                      <w:color w:val="auto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仿宋_GB2312"/>
                      <w:color w:val="auto"/>
                      <w:sz w:val="18"/>
                      <w:szCs w:val="18"/>
                    </w:rPr>
                    <w:t>推断</w:t>
                  </w:r>
                </w:p>
                <w:p>
                  <w:pPr>
                    <w:keepNext w:val="0"/>
                    <w:keepLines w:val="0"/>
                    <w:suppressLineNumbers w:val="0"/>
                    <w:adjustRightInd w:val="0"/>
                    <w:snapToGrid w:val="0"/>
                    <w:spacing w:before="0" w:beforeAutospacing="0" w:after="0" w:afterAutospacing="0" w:line="240" w:lineRule="atLeast"/>
                    <w:ind w:left="0" w:right="0"/>
                    <w:jc w:val="center"/>
                    <w:rPr>
                      <w:rFonts w:hint="default" w:ascii="Times New Roman" w:hAnsi="Times New Roman" w:eastAsia="仿宋_GB2312"/>
                      <w:color w:val="auto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仿宋_GB2312"/>
                      <w:color w:val="auto"/>
                      <w:sz w:val="18"/>
                      <w:szCs w:val="18"/>
                    </w:rPr>
                    <w:t>资源</w:t>
                  </w:r>
                </w:p>
              </w:tc>
              <w:tc>
                <w:tcPr>
                  <w:tcW w:w="605" w:type="pct"/>
                  <w:noWrap w:val="0"/>
                  <w:tcMar>
                    <w:top w:w="0" w:type="dxa"/>
                    <w:left w:w="17" w:type="dxa"/>
                    <w:bottom w:w="0" w:type="dxa"/>
                    <w:right w:w="17" w:type="dxa"/>
                  </w:tcMar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adjustRightInd w:val="0"/>
                    <w:snapToGrid w:val="0"/>
                    <w:spacing w:before="0" w:beforeAutospacing="0" w:after="0" w:afterAutospacing="0" w:line="240" w:lineRule="atLeast"/>
                    <w:ind w:left="0" w:right="0"/>
                    <w:jc w:val="center"/>
                    <w:rPr>
                      <w:rFonts w:hint="default" w:ascii="Times New Roman" w:hAnsi="Times New Roman" w:eastAsia="仿宋_GB2312"/>
                      <w:color w:val="auto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仿宋_GB2312"/>
                      <w:color w:val="auto"/>
                      <w:sz w:val="18"/>
                      <w:szCs w:val="18"/>
                    </w:rPr>
                    <w:t>小计</w:t>
                  </w:r>
                </w:p>
              </w:tc>
              <w:tc>
                <w:tcPr>
                  <w:tcW w:w="556" w:type="pct"/>
                  <w:noWrap w:val="0"/>
                  <w:tcMar>
                    <w:top w:w="0" w:type="dxa"/>
                    <w:left w:w="17" w:type="dxa"/>
                    <w:bottom w:w="0" w:type="dxa"/>
                    <w:right w:w="17" w:type="dxa"/>
                  </w:tcMar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adjustRightInd w:val="0"/>
                    <w:snapToGrid w:val="0"/>
                    <w:spacing w:before="0" w:beforeAutospacing="0" w:after="0" w:afterAutospacing="0" w:line="240" w:lineRule="atLeast"/>
                    <w:ind w:left="0" w:right="0"/>
                    <w:jc w:val="center"/>
                    <w:rPr>
                      <w:rFonts w:hint="eastAsia" w:ascii="Times New Roman" w:hAnsi="Times New Roman" w:eastAsia="仿宋_GB2312"/>
                      <w:color w:val="auto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仿宋_GB2312"/>
                      <w:color w:val="auto"/>
                      <w:sz w:val="18"/>
                      <w:szCs w:val="18"/>
                    </w:rPr>
                    <w:t>证实</w:t>
                  </w:r>
                </w:p>
                <w:p>
                  <w:pPr>
                    <w:keepNext w:val="0"/>
                    <w:keepLines w:val="0"/>
                    <w:suppressLineNumbers w:val="0"/>
                    <w:adjustRightInd w:val="0"/>
                    <w:snapToGrid w:val="0"/>
                    <w:spacing w:before="0" w:beforeAutospacing="0" w:after="0" w:afterAutospacing="0" w:line="240" w:lineRule="atLeast"/>
                    <w:ind w:left="0" w:right="0"/>
                    <w:jc w:val="center"/>
                    <w:rPr>
                      <w:rFonts w:hint="default" w:ascii="Times New Roman" w:hAnsi="Times New Roman" w:eastAsia="仿宋_GB2312"/>
                      <w:color w:val="auto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仿宋_GB2312"/>
                      <w:color w:val="auto"/>
                      <w:sz w:val="18"/>
                      <w:szCs w:val="18"/>
                    </w:rPr>
                    <w:t>储量</w:t>
                  </w:r>
                </w:p>
              </w:tc>
              <w:tc>
                <w:tcPr>
                  <w:tcW w:w="504" w:type="pct"/>
                  <w:noWrap w:val="0"/>
                  <w:tcMar>
                    <w:top w:w="0" w:type="dxa"/>
                    <w:left w:w="17" w:type="dxa"/>
                    <w:bottom w:w="0" w:type="dxa"/>
                    <w:right w:w="17" w:type="dxa"/>
                  </w:tcMar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adjustRightInd w:val="0"/>
                    <w:snapToGrid w:val="0"/>
                    <w:spacing w:before="0" w:beforeAutospacing="0" w:after="0" w:afterAutospacing="0" w:line="240" w:lineRule="atLeast"/>
                    <w:ind w:left="0" w:right="0"/>
                    <w:jc w:val="center"/>
                    <w:rPr>
                      <w:rFonts w:hint="eastAsia" w:ascii="Times New Roman" w:hAnsi="Times New Roman" w:eastAsia="仿宋_GB2312"/>
                      <w:color w:val="auto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仿宋_GB2312"/>
                      <w:color w:val="auto"/>
                      <w:sz w:val="18"/>
                      <w:szCs w:val="18"/>
                    </w:rPr>
                    <w:t>可信</w:t>
                  </w:r>
                </w:p>
                <w:p>
                  <w:pPr>
                    <w:keepNext w:val="0"/>
                    <w:keepLines w:val="0"/>
                    <w:suppressLineNumbers w:val="0"/>
                    <w:adjustRightInd w:val="0"/>
                    <w:snapToGrid w:val="0"/>
                    <w:spacing w:before="0" w:beforeAutospacing="0" w:after="0" w:afterAutospacing="0" w:line="240" w:lineRule="atLeast"/>
                    <w:ind w:left="0" w:right="0"/>
                    <w:jc w:val="center"/>
                    <w:rPr>
                      <w:rFonts w:hint="default" w:ascii="Times New Roman" w:hAnsi="Times New Roman" w:eastAsia="仿宋_GB2312"/>
                      <w:color w:val="auto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仿宋_GB2312"/>
                      <w:color w:val="auto"/>
                      <w:sz w:val="18"/>
                      <w:szCs w:val="18"/>
                    </w:rPr>
                    <w:t>储量</w:t>
                  </w:r>
                </w:p>
              </w:tc>
              <w:tc>
                <w:tcPr>
                  <w:tcW w:w="514" w:type="pct"/>
                  <w:noWrap w:val="0"/>
                  <w:tcMar>
                    <w:top w:w="0" w:type="dxa"/>
                    <w:left w:w="17" w:type="dxa"/>
                    <w:bottom w:w="0" w:type="dxa"/>
                    <w:right w:w="17" w:type="dxa"/>
                  </w:tcMar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adjustRightInd w:val="0"/>
                    <w:snapToGrid w:val="0"/>
                    <w:spacing w:before="0" w:beforeAutospacing="0" w:after="0" w:afterAutospacing="0" w:line="240" w:lineRule="atLeast"/>
                    <w:ind w:left="0" w:right="0"/>
                    <w:jc w:val="center"/>
                    <w:rPr>
                      <w:rFonts w:hint="default" w:ascii="Times New Roman" w:hAnsi="Times New Roman" w:eastAsia="仿宋_GB2312"/>
                      <w:color w:val="auto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仿宋_GB2312"/>
                      <w:color w:val="auto"/>
                      <w:sz w:val="18"/>
                      <w:szCs w:val="18"/>
                    </w:rPr>
                    <w:t>合计</w:t>
                  </w: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00" w:hRule="atLeast"/>
                <w:jc w:val="center"/>
              </w:trPr>
              <w:tc>
                <w:tcPr>
                  <w:tcW w:w="777" w:type="pct"/>
                  <w:noWrap w:val="0"/>
                  <w:tcMar>
                    <w:top w:w="0" w:type="dxa"/>
                    <w:left w:w="17" w:type="dxa"/>
                    <w:bottom w:w="0" w:type="dxa"/>
                    <w:right w:w="17" w:type="dxa"/>
                  </w:tcMar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adjustRightInd w:val="0"/>
                    <w:snapToGrid w:val="0"/>
                    <w:spacing w:before="0" w:beforeAutospacing="0" w:after="0" w:afterAutospacing="0" w:line="240" w:lineRule="atLeast"/>
                    <w:ind w:left="0" w:right="0"/>
                    <w:jc w:val="center"/>
                    <w:rPr>
                      <w:rFonts w:hint="default" w:ascii="Times New Roman" w:hAnsi="Times New Roman" w:eastAsia="仿宋_GB2312"/>
                      <w:color w:val="auto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仿宋_GB2312"/>
                      <w:color w:val="auto"/>
                      <w:sz w:val="18"/>
                      <w:szCs w:val="18"/>
                    </w:rPr>
                    <w:t>保有</w:t>
                  </w:r>
                </w:p>
              </w:tc>
              <w:tc>
                <w:tcPr>
                  <w:tcW w:w="692" w:type="pct"/>
                  <w:noWrap w:val="0"/>
                  <w:tcMar>
                    <w:top w:w="0" w:type="dxa"/>
                    <w:left w:w="17" w:type="dxa"/>
                    <w:bottom w:w="0" w:type="dxa"/>
                    <w:right w:w="17" w:type="dxa"/>
                  </w:tcMar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/>
                      <w:color w:val="auto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/>
                      <w:color w:val="auto"/>
                      <w:sz w:val="18"/>
                      <w:szCs w:val="18"/>
                    </w:rPr>
                    <w:t>234.4</w:t>
                  </w:r>
                </w:p>
              </w:tc>
              <w:tc>
                <w:tcPr>
                  <w:tcW w:w="696" w:type="pct"/>
                  <w:noWrap w:val="0"/>
                  <w:tcMar>
                    <w:top w:w="0" w:type="dxa"/>
                    <w:left w:w="17" w:type="dxa"/>
                    <w:bottom w:w="0" w:type="dxa"/>
                    <w:right w:w="17" w:type="dxa"/>
                  </w:tcMar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/>
                      <w:color w:val="auto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/>
                      <w:color w:val="auto"/>
                      <w:sz w:val="18"/>
                      <w:szCs w:val="18"/>
                    </w:rPr>
                    <w:t>523.7</w:t>
                  </w:r>
                </w:p>
              </w:tc>
              <w:tc>
                <w:tcPr>
                  <w:tcW w:w="652" w:type="pct"/>
                  <w:noWrap w:val="0"/>
                  <w:tcMar>
                    <w:top w:w="0" w:type="dxa"/>
                    <w:left w:w="17" w:type="dxa"/>
                    <w:bottom w:w="0" w:type="dxa"/>
                    <w:right w:w="17" w:type="dxa"/>
                  </w:tcMar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/>
                      <w:color w:val="auto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color w:val="auto"/>
                      <w:sz w:val="18"/>
                      <w:szCs w:val="18"/>
                    </w:rPr>
                    <w:t>6</w:t>
                  </w:r>
                  <w:r>
                    <w:rPr>
                      <w:rFonts w:hint="eastAsia" w:ascii="Times New Roman" w:hAnsi="Times New Roman"/>
                      <w:color w:val="auto"/>
                      <w:sz w:val="18"/>
                      <w:szCs w:val="18"/>
                      <w:lang w:val="en-US" w:eastAsia="zh-CN"/>
                    </w:rPr>
                    <w:t>56.9</w:t>
                  </w:r>
                </w:p>
              </w:tc>
              <w:tc>
                <w:tcPr>
                  <w:tcW w:w="605" w:type="pct"/>
                  <w:noWrap w:val="0"/>
                  <w:tcMar>
                    <w:top w:w="0" w:type="dxa"/>
                    <w:left w:w="17" w:type="dxa"/>
                    <w:bottom w:w="0" w:type="dxa"/>
                    <w:right w:w="17" w:type="dxa"/>
                  </w:tcMar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/>
                      <w:color w:val="auto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color w:val="auto"/>
                      <w:sz w:val="18"/>
                      <w:szCs w:val="18"/>
                      <w:lang w:val="en-US" w:eastAsia="zh-CN"/>
                    </w:rPr>
                    <w:t>1415.0</w:t>
                  </w:r>
                </w:p>
              </w:tc>
              <w:tc>
                <w:tcPr>
                  <w:tcW w:w="556" w:type="pct"/>
                  <w:noWrap w:val="0"/>
                  <w:tcMar>
                    <w:top w:w="0" w:type="dxa"/>
                    <w:left w:w="17" w:type="dxa"/>
                    <w:bottom w:w="0" w:type="dxa"/>
                    <w:right w:w="17" w:type="dxa"/>
                  </w:tcMar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/>
                      <w:color w:val="auto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/>
                      <w:color w:val="auto"/>
                      <w:sz w:val="18"/>
                      <w:szCs w:val="18"/>
                    </w:rPr>
                    <w:t>203.7</w:t>
                  </w:r>
                </w:p>
              </w:tc>
              <w:tc>
                <w:tcPr>
                  <w:tcW w:w="504" w:type="pct"/>
                  <w:noWrap w:val="0"/>
                  <w:tcMar>
                    <w:top w:w="0" w:type="dxa"/>
                    <w:left w:w="17" w:type="dxa"/>
                    <w:bottom w:w="0" w:type="dxa"/>
                    <w:right w:w="17" w:type="dxa"/>
                  </w:tcMar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/>
                      <w:color w:val="auto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/>
                      <w:color w:val="auto"/>
                      <w:sz w:val="18"/>
                      <w:szCs w:val="18"/>
                    </w:rPr>
                    <w:t>455.1</w:t>
                  </w:r>
                </w:p>
              </w:tc>
              <w:tc>
                <w:tcPr>
                  <w:tcW w:w="514" w:type="pct"/>
                  <w:noWrap w:val="0"/>
                  <w:tcMar>
                    <w:top w:w="0" w:type="dxa"/>
                    <w:left w:w="17" w:type="dxa"/>
                    <w:bottom w:w="0" w:type="dxa"/>
                    <w:right w:w="17" w:type="dxa"/>
                  </w:tcMar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/>
                      <w:color w:val="auto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/>
                      <w:color w:val="auto"/>
                      <w:sz w:val="18"/>
                      <w:szCs w:val="18"/>
                    </w:rPr>
                    <w:t>658.8</w:t>
                  </w: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00" w:hRule="atLeast"/>
                <w:jc w:val="center"/>
              </w:trPr>
              <w:tc>
                <w:tcPr>
                  <w:tcW w:w="777" w:type="pct"/>
                  <w:noWrap w:val="0"/>
                  <w:tcMar>
                    <w:top w:w="0" w:type="dxa"/>
                    <w:left w:w="17" w:type="dxa"/>
                    <w:bottom w:w="0" w:type="dxa"/>
                    <w:right w:w="17" w:type="dxa"/>
                  </w:tcMar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adjustRightInd w:val="0"/>
                    <w:snapToGrid w:val="0"/>
                    <w:spacing w:before="0" w:beforeAutospacing="0" w:after="0" w:afterAutospacing="0" w:line="240" w:lineRule="atLeast"/>
                    <w:ind w:left="0" w:right="0"/>
                    <w:jc w:val="center"/>
                    <w:rPr>
                      <w:rFonts w:hint="default" w:ascii="Times New Roman" w:hAnsi="Times New Roman" w:eastAsia="仿宋_GB2312"/>
                      <w:color w:val="auto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仿宋_GB2312"/>
                      <w:color w:val="auto"/>
                      <w:sz w:val="18"/>
                      <w:szCs w:val="18"/>
                    </w:rPr>
                    <w:t>动用</w:t>
                  </w:r>
                </w:p>
              </w:tc>
              <w:tc>
                <w:tcPr>
                  <w:tcW w:w="692" w:type="pct"/>
                  <w:noWrap w:val="0"/>
                  <w:tcMar>
                    <w:top w:w="0" w:type="dxa"/>
                    <w:left w:w="17" w:type="dxa"/>
                    <w:bottom w:w="0" w:type="dxa"/>
                    <w:right w:w="17" w:type="dxa"/>
                  </w:tcMar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/>
                      <w:color w:val="auto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/>
                      <w:color w:val="auto"/>
                      <w:sz w:val="18"/>
                      <w:szCs w:val="18"/>
                    </w:rPr>
                    <w:t>382.8</w:t>
                  </w:r>
                </w:p>
              </w:tc>
              <w:tc>
                <w:tcPr>
                  <w:tcW w:w="696" w:type="pct"/>
                  <w:noWrap w:val="0"/>
                  <w:tcMar>
                    <w:top w:w="0" w:type="dxa"/>
                    <w:left w:w="17" w:type="dxa"/>
                    <w:bottom w:w="0" w:type="dxa"/>
                    <w:right w:w="17" w:type="dxa"/>
                  </w:tcMar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Times New Roman" w:hAnsi="Times New Roman" w:eastAsia="宋体"/>
                      <w:color w:val="auto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Times New Roman" w:hAnsi="Times New Roman"/>
                      <w:color w:val="auto"/>
                      <w:sz w:val="18"/>
                      <w:szCs w:val="18"/>
                      <w:lang w:val="en-US" w:eastAsia="zh-CN"/>
                    </w:rPr>
                    <w:t>-</w:t>
                  </w:r>
                </w:p>
              </w:tc>
              <w:tc>
                <w:tcPr>
                  <w:tcW w:w="652" w:type="pct"/>
                  <w:noWrap w:val="0"/>
                  <w:tcMar>
                    <w:top w:w="0" w:type="dxa"/>
                    <w:left w:w="17" w:type="dxa"/>
                    <w:bottom w:w="0" w:type="dxa"/>
                    <w:right w:w="17" w:type="dxa"/>
                  </w:tcMar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Times New Roman" w:hAnsi="Times New Roman" w:eastAsia="宋体"/>
                      <w:color w:val="auto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Times New Roman" w:hAnsi="Times New Roman"/>
                      <w:color w:val="auto"/>
                      <w:sz w:val="18"/>
                      <w:szCs w:val="18"/>
                      <w:lang w:val="en-US" w:eastAsia="zh-CN"/>
                    </w:rPr>
                    <w:t>-</w:t>
                  </w:r>
                </w:p>
              </w:tc>
              <w:tc>
                <w:tcPr>
                  <w:tcW w:w="605" w:type="pct"/>
                  <w:noWrap w:val="0"/>
                  <w:tcMar>
                    <w:top w:w="0" w:type="dxa"/>
                    <w:left w:w="17" w:type="dxa"/>
                    <w:bottom w:w="0" w:type="dxa"/>
                    <w:right w:w="17" w:type="dxa"/>
                  </w:tcMar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/>
                      <w:color w:val="auto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/>
                      <w:color w:val="auto"/>
                      <w:sz w:val="18"/>
                      <w:szCs w:val="18"/>
                    </w:rPr>
                    <w:t>382.8</w:t>
                  </w:r>
                </w:p>
              </w:tc>
              <w:tc>
                <w:tcPr>
                  <w:tcW w:w="556" w:type="pct"/>
                  <w:noWrap w:val="0"/>
                  <w:tcMar>
                    <w:top w:w="0" w:type="dxa"/>
                    <w:left w:w="17" w:type="dxa"/>
                    <w:bottom w:w="0" w:type="dxa"/>
                    <w:right w:w="17" w:type="dxa"/>
                  </w:tcMar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/>
                      <w:color w:val="auto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/>
                      <w:color w:val="auto"/>
                      <w:sz w:val="18"/>
                      <w:szCs w:val="18"/>
                    </w:rPr>
                    <w:t>332.8</w:t>
                  </w:r>
                </w:p>
              </w:tc>
              <w:tc>
                <w:tcPr>
                  <w:tcW w:w="504" w:type="pct"/>
                  <w:noWrap w:val="0"/>
                  <w:tcMar>
                    <w:top w:w="0" w:type="dxa"/>
                    <w:left w:w="17" w:type="dxa"/>
                    <w:bottom w:w="0" w:type="dxa"/>
                    <w:right w:w="17" w:type="dxa"/>
                  </w:tcMar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eastAsia" w:ascii="Times New Roman" w:hAnsi="Times New Roman" w:eastAsia="宋体"/>
                      <w:color w:val="auto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Times New Roman" w:hAnsi="Times New Roman"/>
                      <w:color w:val="auto"/>
                      <w:sz w:val="18"/>
                      <w:szCs w:val="18"/>
                      <w:lang w:val="en-US" w:eastAsia="zh-CN"/>
                    </w:rPr>
                    <w:t>-</w:t>
                  </w:r>
                </w:p>
              </w:tc>
              <w:tc>
                <w:tcPr>
                  <w:tcW w:w="514" w:type="pct"/>
                  <w:noWrap w:val="0"/>
                  <w:tcMar>
                    <w:top w:w="0" w:type="dxa"/>
                    <w:left w:w="17" w:type="dxa"/>
                    <w:bottom w:w="0" w:type="dxa"/>
                    <w:right w:w="17" w:type="dxa"/>
                  </w:tcMar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/>
                      <w:color w:val="auto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/>
                      <w:color w:val="auto"/>
                      <w:sz w:val="18"/>
                      <w:szCs w:val="18"/>
                    </w:rPr>
                    <w:t>332.8</w:t>
                  </w: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10" w:hRule="atLeast"/>
                <w:jc w:val="center"/>
              </w:trPr>
              <w:tc>
                <w:tcPr>
                  <w:tcW w:w="777" w:type="pct"/>
                  <w:noWrap w:val="0"/>
                  <w:tcMar>
                    <w:top w:w="0" w:type="dxa"/>
                    <w:left w:w="17" w:type="dxa"/>
                    <w:bottom w:w="0" w:type="dxa"/>
                    <w:right w:w="17" w:type="dxa"/>
                  </w:tcMar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adjustRightInd w:val="0"/>
                    <w:snapToGrid w:val="0"/>
                    <w:spacing w:before="0" w:beforeAutospacing="0" w:after="0" w:afterAutospacing="0" w:line="240" w:lineRule="atLeast"/>
                    <w:ind w:left="0" w:right="0"/>
                    <w:jc w:val="center"/>
                    <w:rPr>
                      <w:rFonts w:hint="default" w:ascii="Times New Roman" w:hAnsi="Times New Roman" w:eastAsia="仿宋_GB2312"/>
                      <w:color w:val="auto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仿宋_GB2312"/>
                      <w:color w:val="auto"/>
                      <w:sz w:val="18"/>
                      <w:szCs w:val="18"/>
                    </w:rPr>
                    <w:t>查明</w:t>
                  </w:r>
                </w:p>
              </w:tc>
              <w:tc>
                <w:tcPr>
                  <w:tcW w:w="692" w:type="pct"/>
                  <w:noWrap w:val="0"/>
                  <w:tcMar>
                    <w:top w:w="0" w:type="dxa"/>
                    <w:left w:w="17" w:type="dxa"/>
                    <w:bottom w:w="0" w:type="dxa"/>
                    <w:right w:w="17" w:type="dxa"/>
                  </w:tcMar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/>
                      <w:color w:val="auto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/>
                      <w:color w:val="auto"/>
                      <w:sz w:val="18"/>
                      <w:szCs w:val="18"/>
                    </w:rPr>
                    <w:t>617.2</w:t>
                  </w:r>
                </w:p>
              </w:tc>
              <w:tc>
                <w:tcPr>
                  <w:tcW w:w="696" w:type="pct"/>
                  <w:noWrap w:val="0"/>
                  <w:tcMar>
                    <w:top w:w="0" w:type="dxa"/>
                    <w:left w:w="17" w:type="dxa"/>
                    <w:bottom w:w="0" w:type="dxa"/>
                    <w:right w:w="17" w:type="dxa"/>
                  </w:tcMar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/>
                      <w:color w:val="auto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/>
                      <w:color w:val="auto"/>
                      <w:sz w:val="18"/>
                      <w:szCs w:val="18"/>
                    </w:rPr>
                    <w:t>523.7</w:t>
                  </w:r>
                </w:p>
              </w:tc>
              <w:tc>
                <w:tcPr>
                  <w:tcW w:w="652" w:type="pct"/>
                  <w:noWrap w:val="0"/>
                  <w:tcMar>
                    <w:top w:w="0" w:type="dxa"/>
                    <w:left w:w="17" w:type="dxa"/>
                    <w:bottom w:w="0" w:type="dxa"/>
                    <w:right w:w="17" w:type="dxa"/>
                  </w:tcMar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/>
                      <w:color w:val="auto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color w:val="auto"/>
                      <w:sz w:val="18"/>
                      <w:szCs w:val="18"/>
                    </w:rPr>
                    <w:t>6</w:t>
                  </w:r>
                  <w:r>
                    <w:rPr>
                      <w:rFonts w:hint="eastAsia" w:ascii="Times New Roman" w:hAnsi="Times New Roman"/>
                      <w:color w:val="auto"/>
                      <w:sz w:val="18"/>
                      <w:szCs w:val="18"/>
                      <w:lang w:val="en-US" w:eastAsia="zh-CN"/>
                    </w:rPr>
                    <w:t>56.9</w:t>
                  </w:r>
                </w:p>
              </w:tc>
              <w:tc>
                <w:tcPr>
                  <w:tcW w:w="605" w:type="pct"/>
                  <w:noWrap w:val="0"/>
                  <w:tcMar>
                    <w:top w:w="0" w:type="dxa"/>
                    <w:left w:w="17" w:type="dxa"/>
                    <w:bottom w:w="0" w:type="dxa"/>
                    <w:right w:w="17" w:type="dxa"/>
                  </w:tcMar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/>
                      <w:color w:val="auto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color w:val="auto"/>
                      <w:sz w:val="18"/>
                      <w:szCs w:val="18"/>
                      <w:lang w:val="en-US" w:eastAsia="zh-CN"/>
                    </w:rPr>
                    <w:t>1797.8</w:t>
                  </w:r>
                </w:p>
              </w:tc>
              <w:tc>
                <w:tcPr>
                  <w:tcW w:w="556" w:type="pct"/>
                  <w:noWrap w:val="0"/>
                  <w:tcMar>
                    <w:top w:w="0" w:type="dxa"/>
                    <w:left w:w="17" w:type="dxa"/>
                    <w:bottom w:w="0" w:type="dxa"/>
                    <w:right w:w="17" w:type="dxa"/>
                  </w:tcMar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/>
                      <w:color w:val="auto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/>
                      <w:color w:val="auto"/>
                      <w:sz w:val="18"/>
                      <w:szCs w:val="18"/>
                    </w:rPr>
                    <w:t>536.5</w:t>
                  </w:r>
                </w:p>
              </w:tc>
              <w:tc>
                <w:tcPr>
                  <w:tcW w:w="504" w:type="pct"/>
                  <w:noWrap w:val="0"/>
                  <w:tcMar>
                    <w:top w:w="0" w:type="dxa"/>
                    <w:left w:w="17" w:type="dxa"/>
                    <w:bottom w:w="0" w:type="dxa"/>
                    <w:right w:w="17" w:type="dxa"/>
                  </w:tcMar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/>
                      <w:color w:val="auto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/>
                      <w:color w:val="auto"/>
                      <w:sz w:val="18"/>
                      <w:szCs w:val="18"/>
                    </w:rPr>
                    <w:t>455.1</w:t>
                  </w:r>
                </w:p>
              </w:tc>
              <w:tc>
                <w:tcPr>
                  <w:tcW w:w="514" w:type="pct"/>
                  <w:noWrap w:val="0"/>
                  <w:tcMar>
                    <w:top w:w="0" w:type="dxa"/>
                    <w:left w:w="17" w:type="dxa"/>
                    <w:bottom w:w="0" w:type="dxa"/>
                    <w:right w:w="17" w:type="dxa"/>
                  </w:tcMar>
                  <w:vAlign w:val="center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/>
                      <w:color w:val="auto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/>
                      <w:color w:val="auto"/>
                      <w:sz w:val="18"/>
                      <w:szCs w:val="18"/>
                    </w:rPr>
                    <w:t>991.6</w:t>
                  </w:r>
                </w:p>
              </w:tc>
            </w:tr>
          </w:tbl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420" w:firstLineChars="200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420" w:firstLineChars="200"/>
              <w:jc w:val="left"/>
              <w:textAlignment w:val="auto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  <w:t>另外，在采矿权平面内准采标高外（-200m～-300m标高）估算了推断资源量120.8万吨，均为保有。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195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其他</w:t>
            </w:r>
          </w:p>
        </w:tc>
        <w:tc>
          <w:tcPr>
            <w:tcW w:w="7919" w:type="dxa"/>
            <w:noWrap w:val="0"/>
            <w:vAlign w:val="top"/>
          </w:tcPr>
          <w:p>
            <w:pPr>
              <w:pStyle w:val="2"/>
              <w:spacing w:line="240" w:lineRule="auto"/>
              <w:ind w:left="0" w:leftChars="0" w:firstLine="420" w:firstLineChars="200"/>
              <w:jc w:val="both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pStyle w:val="2"/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555797"/>
    <w:rsid w:val="004A0047"/>
    <w:rsid w:val="01D24C09"/>
    <w:rsid w:val="04760C83"/>
    <w:rsid w:val="052C6F98"/>
    <w:rsid w:val="073C399C"/>
    <w:rsid w:val="0E741BC0"/>
    <w:rsid w:val="0F5D3253"/>
    <w:rsid w:val="0FD817BC"/>
    <w:rsid w:val="11B5457F"/>
    <w:rsid w:val="12C34231"/>
    <w:rsid w:val="160C13C3"/>
    <w:rsid w:val="1B8732E9"/>
    <w:rsid w:val="26031705"/>
    <w:rsid w:val="286C60A7"/>
    <w:rsid w:val="292C33BF"/>
    <w:rsid w:val="2B7E329E"/>
    <w:rsid w:val="2E747222"/>
    <w:rsid w:val="308402F0"/>
    <w:rsid w:val="32917387"/>
    <w:rsid w:val="38820B69"/>
    <w:rsid w:val="3C07147C"/>
    <w:rsid w:val="3C1328AE"/>
    <w:rsid w:val="3CA36CA8"/>
    <w:rsid w:val="3DB50464"/>
    <w:rsid w:val="3E13386B"/>
    <w:rsid w:val="406F07AD"/>
    <w:rsid w:val="42531B7C"/>
    <w:rsid w:val="437E6621"/>
    <w:rsid w:val="48C77C26"/>
    <w:rsid w:val="49991828"/>
    <w:rsid w:val="4C7103C3"/>
    <w:rsid w:val="4D970B37"/>
    <w:rsid w:val="4EAE64BF"/>
    <w:rsid w:val="4F912937"/>
    <w:rsid w:val="51EC759B"/>
    <w:rsid w:val="53C9489D"/>
    <w:rsid w:val="53F430D0"/>
    <w:rsid w:val="5483718F"/>
    <w:rsid w:val="56680AAE"/>
    <w:rsid w:val="57B73C80"/>
    <w:rsid w:val="5BE91C11"/>
    <w:rsid w:val="5D21706A"/>
    <w:rsid w:val="5E200B57"/>
    <w:rsid w:val="5FEB64D6"/>
    <w:rsid w:val="60716DEE"/>
    <w:rsid w:val="62FA7748"/>
    <w:rsid w:val="633356E7"/>
    <w:rsid w:val="63C615CF"/>
    <w:rsid w:val="669D5621"/>
    <w:rsid w:val="67F76100"/>
    <w:rsid w:val="68D30946"/>
    <w:rsid w:val="699D154D"/>
    <w:rsid w:val="6B592915"/>
    <w:rsid w:val="6D165A8C"/>
    <w:rsid w:val="6D242065"/>
    <w:rsid w:val="6E232CDC"/>
    <w:rsid w:val="70555797"/>
    <w:rsid w:val="70897467"/>
    <w:rsid w:val="73AF3A03"/>
    <w:rsid w:val="743E4454"/>
    <w:rsid w:val="75F21F62"/>
    <w:rsid w:val="76604EA1"/>
    <w:rsid w:val="77587FBA"/>
    <w:rsid w:val="79FE3C3B"/>
    <w:rsid w:val="7C4611B3"/>
    <w:rsid w:val="7C525C29"/>
    <w:rsid w:val="7DF7A45B"/>
    <w:rsid w:val="7EBE43BD"/>
    <w:rsid w:val="7FDC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1"/>
    <w:next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 w:firstLine="420" w:firstLineChars="200"/>
      <w:jc w:val="both"/>
    </w:pPr>
    <w:rPr>
      <w:rFonts w:hint="eastAsia" w:ascii="宋体" w:hAnsi="宋体" w:eastAsia="宋体" w:cs="宋体"/>
      <w:kern w:val="2"/>
      <w:sz w:val="28"/>
      <w:szCs w:val="28"/>
      <w:lang w:val="en-US" w:eastAsia="zh-CN" w:bidi="ar"/>
    </w:rPr>
  </w:style>
  <w:style w:type="paragraph" w:styleId="3">
    <w:name w:val="index 5"/>
    <w:basedOn w:val="1"/>
    <w:next w:val="1"/>
    <w:qFormat/>
    <w:uiPriority w:val="0"/>
    <w:pPr>
      <w:ind w:left="800" w:leftChars="800"/>
    </w:pPr>
  </w:style>
  <w:style w:type="paragraph" w:styleId="4">
    <w:name w:val="Document Map"/>
    <w:basedOn w:val="1"/>
    <w:qFormat/>
    <w:uiPriority w:val="0"/>
    <w:rPr>
      <w:rFonts w:ascii="宋体"/>
      <w:sz w:val="18"/>
      <w:szCs w:val="18"/>
    </w:rPr>
  </w:style>
  <w:style w:type="paragraph" w:styleId="5">
    <w:name w:val="Body Text Indent"/>
    <w:basedOn w:val="1"/>
    <w:qFormat/>
    <w:uiPriority w:val="0"/>
    <w:pPr>
      <w:ind w:firstLine="538" w:firstLineChars="192"/>
    </w:pPr>
    <w:rPr>
      <w:rFonts w:ascii="宋体" w:hAnsi="宋体"/>
      <w:sz w:val="28"/>
    </w:rPr>
  </w:style>
  <w:style w:type="paragraph" w:styleId="6">
    <w:name w:val="Plain Text"/>
    <w:basedOn w:val="1"/>
    <w:next w:val="3"/>
    <w:qFormat/>
    <w:uiPriority w:val="0"/>
    <w:rPr>
      <w:rFonts w:ascii="宋体" w:hAnsi="Courier New"/>
    </w:rPr>
  </w:style>
  <w:style w:type="paragraph" w:styleId="7">
    <w:name w:val="Normal (Web)"/>
    <w:basedOn w:val="1"/>
    <w:qFormat/>
    <w:uiPriority w:val="0"/>
    <w:rPr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fontstyle01"/>
    <w:qFormat/>
    <w:uiPriority w:val="0"/>
    <w:rPr>
      <w:rFonts w:hint="eastAsia" w:ascii="仿宋_GB2312" w:eastAsia="仿宋_GB2312"/>
      <w:color w:val="00000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2022-01-17T09:14:00Z</dcterms:created>
  <dc:creator>雁过留声</dc:creator>
  <cp:lastModifiedBy>袁珊</cp:lastModifiedBy>
  <cp:lastPrinted>2022-01-19T08:42:00Z</cp:lastPrinted>
  <dcterms:modified xsi:type="dcterms:W3CDTF">2023-02-24T09:09:11Z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