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spacing w:line="600" w:lineRule="exact"/>
        <w:outlineLvl w:val="0"/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z w:val="32"/>
          <w:szCs w:val="32"/>
        </w:rPr>
        <w:t>附件</w:t>
      </w: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6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spacing w:val="-11"/>
          <w:sz w:val="20"/>
          <w:szCs w:val="21"/>
        </w:rPr>
      </w:pP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color w:val="000000"/>
          <w:spacing w:val="-11"/>
          <w:sz w:val="32"/>
          <w:szCs w:val="32"/>
        </w:rPr>
        <w:t>四川省南江县红山铁矿资源储量核实及延伸详查报告》矿产资源储量评审备案公示信息表</w:t>
      </w:r>
    </w:p>
    <w:tbl>
      <w:tblPr>
        <w:tblStyle w:val="8"/>
        <w:tblW w:w="987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5"/>
        <w:gridCol w:w="79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7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申请人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四川省南江铁山冶金矿业有限公司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报告名称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《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四川省南江县红山铁矿资源储量核实及延伸详查报告</w:t>
            </w:r>
            <w:r>
              <w:rPr>
                <w:rFonts w:hint="eastAsia" w:cs="Times New Roman"/>
                <w:lang w:val="en-US" w:eastAsia="zh-CN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报告编制单位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四川省地质矿产勘查开发局区域地质调查队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主要编写人员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陈仕华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ab/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鲜 秋</w:t>
            </w:r>
            <w:r>
              <w:rPr>
                <w:rFonts w:hint="eastAsia" w:cs="Times New Roman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张铁硬</w:t>
            </w:r>
            <w:r>
              <w:rPr>
                <w:rFonts w:hint="eastAsia" w:cs="Times New Roman"/>
                <w:lang w:val="en-US" w:eastAsia="zh-CN"/>
              </w:rPr>
              <w:t>等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5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矿业权证号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eastAsia="仿宋_GB2312" w:cs="Times New Roman"/>
                <w:color w:val="000000"/>
                <w:sz w:val="21"/>
                <w:szCs w:val="21"/>
                <w:lang w:val="en-US" w:eastAsia="zh-CN"/>
              </w:rPr>
              <w:t>C5100002010122120100429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矿业权人名称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四川省南江铁山冶金矿业有限公司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8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评审机构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default" w:ascii="Times New Roman" w:hAnsi="Times New Roman" w:eastAsia="宋体" w:cs="Times New Roman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lang w:val="en-US" w:eastAsia="zh-CN"/>
              </w:rPr>
              <w:t>四川省矿产资源储量评审中心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exac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评审专家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 xml:space="preserve">郑辉 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魏继生  张裕书  刘宗祥  刘智权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3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本次采用工业指标</w:t>
            </w: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  <w:lang w:val="en-US" w:eastAsia="zh-CN"/>
              </w:rPr>
              <w:t>/工程压覆影响范围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 w:firstLine="420" w:firstLineChars="200"/>
              <w:jc w:val="left"/>
              <w:rPr>
                <w:rFonts w:hint="eastAsia" w:ascii="Times New Roman" w:hAnsi="Times New Roman" w:eastAsia="仿宋_GB2312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边界品位TFe 20%，最低工业品位TFe 25%，最小可采厚度1m，最小夹石剔除厚度1m。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评审备案目的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探矿权转采矿权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评审备案矿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  <w:lang w:eastAsia="zh-CN"/>
              </w:rPr>
              <w:t>种</w:t>
            </w: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名称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240" w:lineRule="auto"/>
              <w:ind w:left="0" w:right="0"/>
              <w:jc w:val="center"/>
              <w:rPr>
                <w:rFonts w:hint="eastAsia" w:ascii="Times New Roman" w:hAnsi="Times New Roman" w:eastAsia="宋体" w:cs="Times New Roman"/>
                <w:lang w:val="en-US" w:eastAsia="zh-CN"/>
              </w:rPr>
            </w:pPr>
            <w:r>
              <w:rPr>
                <w:rFonts w:hint="eastAsia" w:cs="Times New Roman"/>
                <w:lang w:val="en-US" w:eastAsia="zh-CN"/>
              </w:rPr>
              <w:t>铁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34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eastAsia" w:ascii="仿宋_GB2312" w:hAnsi="仿宋_GB2312" w:eastAsia="仿宋_GB2312" w:cs="仿宋_GB2312"/>
                <w:color w:val="000000"/>
                <w:sz w:val="21"/>
                <w:szCs w:val="21"/>
              </w:rPr>
              <w:t>评审备案资源储量</w:t>
            </w:r>
          </w:p>
        </w:tc>
        <w:tc>
          <w:tcPr>
            <w:tcW w:w="7919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560" w:lineRule="exact"/>
              <w:ind w:left="0" w:right="0" w:firstLine="600"/>
              <w:textAlignment w:val="auto"/>
              <w:rPr>
                <w:rFonts w:hint="default" w:ascii="仿宋_GB2312" w:hAnsi="仿宋_GB2312" w:eastAsia="仿宋_GB2312" w:cs="仿宋_GB2312"/>
                <w:snapToGrid w:val="0"/>
                <w:color w:val="auto"/>
                <w:sz w:val="30"/>
                <w:szCs w:val="30"/>
              </w:rPr>
            </w:pPr>
            <w:r>
              <w:rPr>
                <w:rFonts w:hint="eastAsia"/>
                <w:sz w:val="22"/>
                <w:szCs w:val="22"/>
                <w:lang w:val="en-US" w:eastAsia="zh-CN"/>
              </w:rPr>
              <w:t xml:space="preserve">  </w:t>
            </w:r>
            <w:r>
              <w:rPr>
                <w:rFonts w:hint="eastAsia" w:ascii="Times New Roman" w:hAnsi="Times New Roman" w:eastAsia="宋体" w:cs="Times New Roman"/>
                <w:lang w:val="en-US" w:eastAsia="zh-CN"/>
              </w:rPr>
              <w:t>评审通过的资源储量见下表：</w:t>
            </w:r>
          </w:p>
          <w:tbl>
            <w:tblPr>
              <w:tblStyle w:val="8"/>
              <w:tblW w:w="7598" w:type="dxa"/>
              <w:jc w:val="center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shd w:val="clear" w:color="auto" w:fill="auto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37"/>
              <w:gridCol w:w="804"/>
              <w:gridCol w:w="698"/>
              <w:gridCol w:w="676"/>
              <w:gridCol w:w="686"/>
              <w:gridCol w:w="654"/>
              <w:gridCol w:w="640"/>
              <w:gridCol w:w="675"/>
              <w:gridCol w:w="675"/>
              <w:gridCol w:w="65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18" w:hRule="atLeast"/>
                <w:jc w:val="center"/>
              </w:trPr>
              <w:tc>
                <w:tcPr>
                  <w:tcW w:w="2241" w:type="dxa"/>
                  <w:gridSpan w:val="2"/>
                  <w:vMerge w:val="restart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主矿种：铁矿</w:t>
                  </w:r>
                </w:p>
              </w:tc>
              <w:tc>
                <w:tcPr>
                  <w:tcW w:w="1374" w:type="dxa"/>
                  <w:gridSpan w:val="2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控制资源量</w:t>
                  </w:r>
                </w:p>
              </w:tc>
              <w:tc>
                <w:tcPr>
                  <w:tcW w:w="1340" w:type="dxa"/>
                  <w:gridSpan w:val="2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推断资源量</w:t>
                  </w:r>
                </w:p>
              </w:tc>
              <w:tc>
                <w:tcPr>
                  <w:tcW w:w="1315" w:type="dxa"/>
                  <w:gridSpan w:val="2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合计</w:t>
                  </w:r>
                </w:p>
              </w:tc>
              <w:tc>
                <w:tcPr>
                  <w:tcW w:w="1328" w:type="dxa"/>
                  <w:gridSpan w:val="2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可信储量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727" w:hRule="atLeast"/>
                <w:jc w:val="center"/>
              </w:trPr>
              <w:tc>
                <w:tcPr>
                  <w:tcW w:w="2241" w:type="dxa"/>
                  <w:gridSpan w:val="2"/>
                  <w:vMerge w:val="continue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698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矿石量(万吨)</w:t>
                  </w:r>
                </w:p>
              </w:tc>
              <w:tc>
                <w:tcPr>
                  <w:tcW w:w="676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品位TFe(%)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矿石量(万吨)</w:t>
                  </w:r>
                </w:p>
              </w:tc>
              <w:tc>
                <w:tcPr>
                  <w:tcW w:w="65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品位TFe(%)</w:t>
                  </w:r>
                </w:p>
              </w:tc>
              <w:tc>
                <w:tcPr>
                  <w:tcW w:w="640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矿石量(万吨)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品位TFe(%)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矿石量(万吨)</w:t>
                  </w:r>
                </w:p>
              </w:tc>
              <w:tc>
                <w:tcPr>
                  <w:tcW w:w="653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品位TFe(%)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3" w:hRule="exact"/>
                <w:jc w:val="center"/>
              </w:trPr>
              <w:tc>
                <w:tcPr>
                  <w:tcW w:w="1437" w:type="dxa"/>
                  <w:vMerge w:val="restart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采矿权范围</w:t>
                  </w:r>
                </w:p>
              </w:tc>
              <w:tc>
                <w:tcPr>
                  <w:tcW w:w="80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保有</w:t>
                  </w:r>
                </w:p>
              </w:tc>
              <w:tc>
                <w:tcPr>
                  <w:tcW w:w="698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5.0</w:t>
                  </w:r>
                </w:p>
              </w:tc>
              <w:tc>
                <w:tcPr>
                  <w:tcW w:w="676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30.48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21.3</w:t>
                  </w:r>
                </w:p>
              </w:tc>
              <w:tc>
                <w:tcPr>
                  <w:tcW w:w="65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37.69</w:t>
                  </w:r>
                </w:p>
              </w:tc>
              <w:tc>
                <w:tcPr>
                  <w:tcW w:w="640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26.3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36.32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4.4</w:t>
                  </w:r>
                </w:p>
              </w:tc>
              <w:tc>
                <w:tcPr>
                  <w:tcW w:w="653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30.48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3" w:hRule="exact"/>
                <w:jc w:val="center"/>
              </w:trPr>
              <w:tc>
                <w:tcPr>
                  <w:tcW w:w="1437" w:type="dxa"/>
                  <w:vMerge w:val="continue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0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动用</w:t>
                  </w:r>
                </w:p>
              </w:tc>
              <w:tc>
                <w:tcPr>
                  <w:tcW w:w="698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382.9</w:t>
                  </w:r>
                </w:p>
              </w:tc>
              <w:tc>
                <w:tcPr>
                  <w:tcW w:w="676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39.01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65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640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382.9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39.01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337.0</w:t>
                  </w:r>
                </w:p>
              </w:tc>
              <w:tc>
                <w:tcPr>
                  <w:tcW w:w="653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39.01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3" w:hRule="exact"/>
                <w:jc w:val="center"/>
              </w:trPr>
              <w:tc>
                <w:tcPr>
                  <w:tcW w:w="1437" w:type="dxa"/>
                  <w:vMerge w:val="continue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0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累计查明</w:t>
                  </w:r>
                </w:p>
              </w:tc>
              <w:tc>
                <w:tcPr>
                  <w:tcW w:w="698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387.9</w:t>
                  </w:r>
                </w:p>
              </w:tc>
              <w:tc>
                <w:tcPr>
                  <w:tcW w:w="676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eastAsia="zh-CN"/>
                    </w:rPr>
                    <w:t>38.90</w:t>
                  </w:r>
                </w:p>
              </w:tc>
              <w:tc>
                <w:tcPr>
                  <w:tcW w:w="686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21.3</w:t>
                  </w:r>
                </w:p>
              </w:tc>
              <w:tc>
                <w:tcPr>
                  <w:tcW w:w="65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37.69</w:t>
                  </w:r>
                </w:p>
              </w:tc>
              <w:tc>
                <w:tcPr>
                  <w:tcW w:w="640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409.2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38.84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341.4</w:t>
                  </w:r>
                </w:p>
              </w:tc>
              <w:tc>
                <w:tcPr>
                  <w:tcW w:w="653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38.90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82" w:hRule="exact"/>
                <w:jc w:val="center"/>
              </w:trPr>
              <w:tc>
                <w:tcPr>
                  <w:tcW w:w="1437" w:type="dxa"/>
                  <w:vMerge w:val="restart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2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探矿权范围</w:t>
                  </w:r>
                  <w:r>
                    <w:rPr>
                      <w:rStyle w:val="12"/>
                      <w:rFonts w:hint="eastAsia" w:asciiTheme="minorEastAsia" w:hAnsiTheme="minorEastAsia" w:eastAsiaTheme="minorEastAsia" w:cstheme="minorEastAsia"/>
                      <w:color w:val="auto"/>
                      <w:sz w:val="18"/>
                      <w:szCs w:val="18"/>
                      <w:lang w:val="en-US" w:eastAsia="zh-CN" w:bidi="ar"/>
                    </w:rPr>
                    <w:t>(</w:t>
                  </w: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采矿权平面内标高外</w:t>
                  </w:r>
                  <w:r>
                    <w:rPr>
                      <w:rStyle w:val="12"/>
                      <w:rFonts w:hint="eastAsia" w:asciiTheme="minorEastAsia" w:hAnsiTheme="minorEastAsia" w:eastAsiaTheme="minorEastAsia" w:cstheme="minorEastAsia"/>
                      <w:color w:val="auto"/>
                      <w:sz w:val="18"/>
                      <w:szCs w:val="18"/>
                      <w:lang w:val="en-US" w:eastAsia="zh-CN" w:bidi="ar"/>
                    </w:rPr>
                    <w:t>)</w:t>
                  </w:r>
                </w:p>
              </w:tc>
              <w:tc>
                <w:tcPr>
                  <w:tcW w:w="80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保有</w:t>
                  </w:r>
                </w:p>
              </w:tc>
              <w:tc>
                <w:tcPr>
                  <w:tcW w:w="698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61.1</w:t>
                  </w:r>
                </w:p>
              </w:tc>
              <w:tc>
                <w:tcPr>
                  <w:tcW w:w="67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32.87</w:t>
                  </w:r>
                </w:p>
              </w:tc>
              <w:tc>
                <w:tcPr>
                  <w:tcW w:w="68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63.1</w:t>
                  </w:r>
                </w:p>
              </w:tc>
              <w:tc>
                <w:tcPr>
                  <w:tcW w:w="654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35.80</w:t>
                  </w:r>
                </w:p>
              </w:tc>
              <w:tc>
                <w:tcPr>
                  <w:tcW w:w="64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124.2</w:t>
                  </w:r>
                </w:p>
              </w:tc>
              <w:tc>
                <w:tcPr>
                  <w:tcW w:w="675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34.36</w:t>
                  </w:r>
                </w:p>
              </w:tc>
              <w:tc>
                <w:tcPr>
                  <w:tcW w:w="675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</w:p>
              </w:tc>
              <w:tc>
                <w:tcPr>
                  <w:tcW w:w="653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09" w:hRule="exact"/>
                <w:jc w:val="center"/>
              </w:trPr>
              <w:tc>
                <w:tcPr>
                  <w:tcW w:w="1437" w:type="dxa"/>
                  <w:vMerge w:val="continue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0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累计查明</w:t>
                  </w:r>
                </w:p>
              </w:tc>
              <w:tc>
                <w:tcPr>
                  <w:tcW w:w="698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61.1</w:t>
                  </w:r>
                </w:p>
              </w:tc>
              <w:tc>
                <w:tcPr>
                  <w:tcW w:w="67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32.87</w:t>
                  </w:r>
                </w:p>
              </w:tc>
              <w:tc>
                <w:tcPr>
                  <w:tcW w:w="68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63.1</w:t>
                  </w:r>
                </w:p>
              </w:tc>
              <w:tc>
                <w:tcPr>
                  <w:tcW w:w="654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35.80</w:t>
                  </w:r>
                </w:p>
              </w:tc>
              <w:tc>
                <w:tcPr>
                  <w:tcW w:w="64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124.2</w:t>
                  </w:r>
                </w:p>
              </w:tc>
              <w:tc>
                <w:tcPr>
                  <w:tcW w:w="675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34.36</w:t>
                  </w:r>
                </w:p>
              </w:tc>
              <w:tc>
                <w:tcPr>
                  <w:tcW w:w="675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</w:p>
              </w:tc>
              <w:tc>
                <w:tcPr>
                  <w:tcW w:w="653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  <w:t>/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3" w:hRule="exact"/>
                <w:jc w:val="center"/>
              </w:trPr>
              <w:tc>
                <w:tcPr>
                  <w:tcW w:w="1437" w:type="dxa"/>
                  <w:vMerge w:val="restart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全矿区范围</w:t>
                  </w:r>
                </w:p>
              </w:tc>
              <w:tc>
                <w:tcPr>
                  <w:tcW w:w="80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保有</w:t>
                  </w:r>
                </w:p>
              </w:tc>
              <w:tc>
                <w:tcPr>
                  <w:tcW w:w="698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66.1</w:t>
                  </w:r>
                </w:p>
              </w:tc>
              <w:tc>
                <w:tcPr>
                  <w:tcW w:w="67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32.69</w:t>
                  </w:r>
                </w:p>
              </w:tc>
              <w:tc>
                <w:tcPr>
                  <w:tcW w:w="68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84.4</w:t>
                  </w:r>
                </w:p>
              </w:tc>
              <w:tc>
                <w:tcPr>
                  <w:tcW w:w="654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36.28</w:t>
                  </w:r>
                </w:p>
              </w:tc>
              <w:tc>
                <w:tcPr>
                  <w:tcW w:w="64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150.5</w:t>
                  </w:r>
                </w:p>
              </w:tc>
              <w:tc>
                <w:tcPr>
                  <w:tcW w:w="675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34.70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4.4</w:t>
                  </w:r>
                </w:p>
              </w:tc>
              <w:tc>
                <w:tcPr>
                  <w:tcW w:w="653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30.48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273" w:hRule="exact"/>
                <w:jc w:val="center"/>
              </w:trPr>
              <w:tc>
                <w:tcPr>
                  <w:tcW w:w="1437" w:type="dxa"/>
                  <w:vMerge w:val="continue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0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动用</w:t>
                  </w:r>
                </w:p>
              </w:tc>
              <w:tc>
                <w:tcPr>
                  <w:tcW w:w="698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382.9</w:t>
                  </w:r>
                </w:p>
              </w:tc>
              <w:tc>
                <w:tcPr>
                  <w:tcW w:w="67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39.01</w:t>
                  </w:r>
                </w:p>
              </w:tc>
              <w:tc>
                <w:tcPr>
                  <w:tcW w:w="68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654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/</w:t>
                  </w:r>
                </w:p>
              </w:tc>
              <w:tc>
                <w:tcPr>
                  <w:tcW w:w="64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382.9</w:t>
                  </w:r>
                </w:p>
              </w:tc>
              <w:tc>
                <w:tcPr>
                  <w:tcW w:w="675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39.01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337.0</w:t>
                  </w:r>
                </w:p>
              </w:tc>
              <w:tc>
                <w:tcPr>
                  <w:tcW w:w="653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39.01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shd w:val="clear" w:color="auto" w:fill="auto"/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01" w:hRule="exact"/>
                <w:jc w:val="center"/>
              </w:trPr>
              <w:tc>
                <w:tcPr>
                  <w:tcW w:w="1437" w:type="dxa"/>
                  <w:vMerge w:val="continue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</w:p>
              </w:tc>
              <w:tc>
                <w:tcPr>
                  <w:tcW w:w="804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累计查明</w:t>
                  </w:r>
                </w:p>
              </w:tc>
              <w:tc>
                <w:tcPr>
                  <w:tcW w:w="698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449.0</w:t>
                  </w:r>
                </w:p>
              </w:tc>
              <w:tc>
                <w:tcPr>
                  <w:tcW w:w="67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 w:eastAsia="zh-CN"/>
                    </w:rPr>
                    <w:t>38.08</w:t>
                  </w:r>
                </w:p>
              </w:tc>
              <w:tc>
                <w:tcPr>
                  <w:tcW w:w="686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84.4</w:t>
                  </w:r>
                </w:p>
              </w:tc>
              <w:tc>
                <w:tcPr>
                  <w:tcW w:w="654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36.28</w:t>
                  </w:r>
                </w:p>
              </w:tc>
              <w:tc>
                <w:tcPr>
                  <w:tcW w:w="640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533.4</w:t>
                  </w:r>
                </w:p>
              </w:tc>
              <w:tc>
                <w:tcPr>
                  <w:tcW w:w="675" w:type="dxa"/>
                  <w:shd w:val="clear" w:color="auto" w:fill="auto"/>
                  <w:noWrap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37.80</w:t>
                  </w:r>
                </w:p>
              </w:tc>
              <w:tc>
                <w:tcPr>
                  <w:tcW w:w="675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341.4</w:t>
                  </w:r>
                </w:p>
              </w:tc>
              <w:tc>
                <w:tcPr>
                  <w:tcW w:w="653" w:type="dxa"/>
                  <w:shd w:val="clear" w:color="auto" w:fill="auto"/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>
                  <w:pPr>
                    <w:keepNext w:val="0"/>
                    <w:keepLines w:val="0"/>
                    <w:pageBreakBefore w:val="0"/>
                    <w:widowControl/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240" w:lineRule="exact"/>
                    <w:ind w:left="0" w:right="0" w:firstLine="0" w:firstLineChars="0"/>
                    <w:jc w:val="center"/>
                    <w:textAlignment w:val="center"/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sz w:val="18"/>
                      <w:szCs w:val="18"/>
                      <w:u w:val="none"/>
                      <w:lang w:val="en-US"/>
                    </w:rPr>
                  </w:pPr>
                  <w:r>
                    <w:rPr>
                      <w:rFonts w:hint="eastAsia" w:asciiTheme="minorEastAsia" w:hAnsiTheme="minorEastAsia" w:eastAsiaTheme="minorEastAsia" w:cstheme="minorEastAsia"/>
                      <w:i w:val="0"/>
                      <w:color w:val="auto"/>
                      <w:kern w:val="0"/>
                      <w:sz w:val="18"/>
                      <w:szCs w:val="18"/>
                      <w:u w:val="none"/>
                      <w:lang w:val="en-US" w:eastAsia="zh-CN" w:bidi="ar"/>
                    </w:rPr>
                    <w:t>38.90</w:t>
                  </w:r>
                </w:p>
              </w:tc>
            </w:tr>
          </w:tbl>
          <w:p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left="0" w:leftChars="0" w:firstLine="440" w:firstLineChars="200"/>
              <w:jc w:val="left"/>
              <w:textAlignment w:val="auto"/>
              <w:rPr>
                <w:rFonts w:hint="eastAsia"/>
                <w:sz w:val="22"/>
                <w:szCs w:val="22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6" w:hRule="atLeast"/>
          <w:jc w:val="center"/>
        </w:trPr>
        <w:tc>
          <w:tcPr>
            <w:tcW w:w="1955" w:type="dxa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 w:line="400" w:lineRule="exact"/>
              <w:ind w:left="0" w:right="0"/>
              <w:jc w:val="center"/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sz w:val="21"/>
                <w:szCs w:val="21"/>
              </w:rPr>
              <w:t>其他</w:t>
            </w:r>
          </w:p>
        </w:tc>
        <w:tc>
          <w:tcPr>
            <w:tcW w:w="7919" w:type="dxa"/>
            <w:noWrap w:val="0"/>
            <w:vAlign w:val="top"/>
          </w:tcPr>
          <w:p>
            <w:pPr>
              <w:pStyle w:val="2"/>
              <w:spacing w:line="240" w:lineRule="auto"/>
              <w:ind w:left="0" w:leftChars="0" w:firstLine="420" w:firstLineChars="200"/>
              <w:jc w:val="both"/>
              <w:rPr>
                <w:rFonts w:hint="default" w:ascii="Times New Roman" w:hAnsi="Times New Roman" w:eastAsia="仿宋_GB2312" w:cs="Times New Roman"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2"/>
        <w:ind w:left="0" w:leftChars="0" w:firstLine="0" w:firstLineChars="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4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小标宋简体">
    <w:altName w:val="Arial Unicode MS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555797"/>
    <w:rsid w:val="004A0047"/>
    <w:rsid w:val="01D24C09"/>
    <w:rsid w:val="04760C83"/>
    <w:rsid w:val="052C6F98"/>
    <w:rsid w:val="073C399C"/>
    <w:rsid w:val="0D8677DA"/>
    <w:rsid w:val="0E741BC0"/>
    <w:rsid w:val="0F5D3253"/>
    <w:rsid w:val="0FD817BC"/>
    <w:rsid w:val="12C34231"/>
    <w:rsid w:val="160C13C3"/>
    <w:rsid w:val="1B8732E9"/>
    <w:rsid w:val="26031705"/>
    <w:rsid w:val="286C60A7"/>
    <w:rsid w:val="292C33BF"/>
    <w:rsid w:val="2B7E329E"/>
    <w:rsid w:val="2E747222"/>
    <w:rsid w:val="308402F0"/>
    <w:rsid w:val="32917387"/>
    <w:rsid w:val="36DC50FE"/>
    <w:rsid w:val="38820B69"/>
    <w:rsid w:val="3C07147C"/>
    <w:rsid w:val="3C1328AE"/>
    <w:rsid w:val="3CA36CA8"/>
    <w:rsid w:val="3DB50464"/>
    <w:rsid w:val="3E13386B"/>
    <w:rsid w:val="406F07AD"/>
    <w:rsid w:val="42531B7C"/>
    <w:rsid w:val="429756C7"/>
    <w:rsid w:val="437E6621"/>
    <w:rsid w:val="48C77C26"/>
    <w:rsid w:val="49991828"/>
    <w:rsid w:val="4D970B37"/>
    <w:rsid w:val="4EAE64BF"/>
    <w:rsid w:val="4F912937"/>
    <w:rsid w:val="51EC759B"/>
    <w:rsid w:val="53C9489D"/>
    <w:rsid w:val="53F430D0"/>
    <w:rsid w:val="5483718F"/>
    <w:rsid w:val="56680AAE"/>
    <w:rsid w:val="57B73C80"/>
    <w:rsid w:val="5BE91C11"/>
    <w:rsid w:val="5D21706A"/>
    <w:rsid w:val="5E200B57"/>
    <w:rsid w:val="5FEB64D6"/>
    <w:rsid w:val="60716DEE"/>
    <w:rsid w:val="62FA7748"/>
    <w:rsid w:val="633356E7"/>
    <w:rsid w:val="63C615CF"/>
    <w:rsid w:val="669D5621"/>
    <w:rsid w:val="67F76100"/>
    <w:rsid w:val="699D154D"/>
    <w:rsid w:val="6B592915"/>
    <w:rsid w:val="6D165A8C"/>
    <w:rsid w:val="6D242065"/>
    <w:rsid w:val="6E232CDC"/>
    <w:rsid w:val="70555797"/>
    <w:rsid w:val="70897467"/>
    <w:rsid w:val="73AF3A03"/>
    <w:rsid w:val="743E4454"/>
    <w:rsid w:val="75F21F62"/>
    <w:rsid w:val="76604EA1"/>
    <w:rsid w:val="77587FBA"/>
    <w:rsid w:val="79FE3C3B"/>
    <w:rsid w:val="7C4611B3"/>
    <w:rsid w:val="7C525C29"/>
    <w:rsid w:val="7DF7A45B"/>
    <w:rsid w:val="7EBE43BD"/>
    <w:rsid w:val="7FDC3D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1"/>
    <w:next w:val="1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 w:firstLine="420" w:firstLineChars="200"/>
      <w:jc w:val="both"/>
    </w:pPr>
    <w:rPr>
      <w:rFonts w:hint="eastAsia" w:ascii="宋体" w:hAnsi="宋体" w:eastAsia="宋体" w:cs="宋体"/>
      <w:kern w:val="2"/>
      <w:sz w:val="28"/>
      <w:szCs w:val="28"/>
      <w:lang w:val="en-US" w:eastAsia="zh-CN" w:bidi="ar"/>
    </w:rPr>
  </w:style>
  <w:style w:type="paragraph" w:styleId="3">
    <w:name w:val="index 5"/>
    <w:basedOn w:val="1"/>
    <w:next w:val="1"/>
    <w:qFormat/>
    <w:uiPriority w:val="0"/>
    <w:pPr>
      <w:ind w:left="800" w:leftChars="800"/>
    </w:pPr>
  </w:style>
  <w:style w:type="paragraph" w:styleId="4">
    <w:name w:val="Document Map"/>
    <w:basedOn w:val="1"/>
    <w:qFormat/>
    <w:uiPriority w:val="0"/>
    <w:rPr>
      <w:rFonts w:ascii="宋体"/>
      <w:sz w:val="18"/>
      <w:szCs w:val="18"/>
    </w:rPr>
  </w:style>
  <w:style w:type="paragraph" w:styleId="5">
    <w:name w:val="Body Text Indent"/>
    <w:basedOn w:val="1"/>
    <w:qFormat/>
    <w:uiPriority w:val="0"/>
    <w:pPr>
      <w:ind w:firstLine="538" w:firstLineChars="192"/>
    </w:pPr>
    <w:rPr>
      <w:rFonts w:ascii="宋体" w:hAnsi="宋体"/>
      <w:sz w:val="28"/>
    </w:rPr>
  </w:style>
  <w:style w:type="paragraph" w:styleId="6">
    <w:name w:val="Plain Text"/>
    <w:basedOn w:val="1"/>
    <w:next w:val="3"/>
    <w:qFormat/>
    <w:uiPriority w:val="0"/>
    <w:rPr>
      <w:rFonts w:ascii="宋体" w:hAnsi="Courier New"/>
    </w:rPr>
  </w:style>
  <w:style w:type="paragraph" w:styleId="7">
    <w:name w:val="Normal (Web)"/>
    <w:basedOn w:val="1"/>
    <w:qFormat/>
    <w:uiPriority w:val="0"/>
    <w:rPr>
      <w:sz w:val="24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1">
    <w:name w:val="fontstyle01"/>
    <w:qFormat/>
    <w:uiPriority w:val="0"/>
    <w:rPr>
      <w:rFonts w:hint="eastAsia" w:ascii="仿宋_GB2312" w:eastAsia="仿宋_GB2312"/>
      <w:color w:val="000000"/>
      <w:sz w:val="24"/>
      <w:szCs w:val="24"/>
    </w:rPr>
  </w:style>
  <w:style w:type="character" w:customStyle="1" w:styleId="12">
    <w:name w:val="font41"/>
    <w:basedOn w:val="10"/>
    <w:qFormat/>
    <w:uiPriority w:val="0"/>
    <w:rPr>
      <w:rFonts w:hint="default" w:ascii="Times New Roman" w:hAnsi="Times New Roman" w:cs="Times New Roman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Office_11.8.2.10229_F1E327BC-269C-435d-A152-05C5408002CA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2022-01-17T09:14:00Z</dcterms:created>
  <dc:creator>雁过留声</dc:creator>
  <cp:lastModifiedBy>袁珊</cp:lastModifiedBy>
  <cp:lastPrinted>2022-01-19T08:42:00Z</cp:lastPrinted>
  <dcterms:modified xsi:type="dcterms:W3CDTF">2023-02-24T09:28:26Z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2052-11.8.2.10229</vt:lpwstr>
  </property>
</Properties>
</file>