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《镇巴（川陕界）至广安高速公路川陕界至王坪段高速公路工程压覆已查明重要矿产资源评估报告》</w:t>
      </w:r>
      <w:bookmarkStart w:id="0" w:name="_GoBack"/>
      <w:bookmarkEnd w:id="0"/>
      <w:r>
        <w:rPr>
          <w:rFonts w:hint="eastAsia" w:ascii="方正小标宋简体" w:hAnsi="方正小标宋简体" w:eastAsia="方正小标宋简体" w:cs="方正小标宋简体"/>
          <w:color w:val="000000"/>
          <w:spacing w:val="-11"/>
          <w:sz w:val="32"/>
          <w:szCs w:val="32"/>
        </w:rPr>
        <w:t>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四川镇广高速公路有限责任公司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《镇巴（川陕界）至广安高速公路川陕界至王坪段高速公路工程压覆已查明重要矿产资源评估报告》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四川省地质矿产勘查开发局一0八地质队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谌 岚   杨 洋   丁 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魏文金  吴永贵  孙铁钢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    路基段以征地范围外扩100m，隧道段以路基范围外扩100m，中型及以上桥梁（含互通桥梁）段以征地范围外扩200m、桥头桥尾分别以其起止点外扩200m。影响深度：路基段和隧道段为路面设计标高以下288m，中型及以上桥梁（含互通桥梁）段为按移动角延至288m后垂直向下无限深，隧道影响高度为顶面标高以上100m。移动角参数：走向移动角73°，上山移动角73°，下山移动角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keepNext w:val="0"/>
              <w:keepLines w:val="0"/>
              <w:suppressLineNumbers w:val="0"/>
              <w:spacing w:before="0" w:beforeAutospacing="0" w:after="0" w:afterAutospacing="0" w:line="400" w:lineRule="exact"/>
              <w:ind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评审评定，拟建镇巴（川陕界）至广安高速公路川陕界至王坪段高速公路工程建设项目压覆各矿业权的煤炭资源量为：</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1.四川通江县铁厂坡矿业有限责任公司铁厂坡煤矿（已关闭）：煤，采矿权内控制资源量2.6万吨；另外，压覆采矿权平面内标高外推断资源量17.0万吨。</w:t>
            </w:r>
          </w:p>
          <w:p>
            <w:pPr>
              <w:keepNext w:val="0"/>
              <w:keepLines w:val="0"/>
              <w:suppressLineNumbers w:val="0"/>
              <w:spacing w:before="0" w:beforeAutospacing="0" w:after="0" w:afterAutospacing="0" w:line="400" w:lineRule="exact"/>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2.四川锦晟矿业有限公司杨家梁煤矿：煤，控制资源量2.1万吨。</w:t>
            </w:r>
          </w:p>
          <w:p>
            <w:pPr>
              <w:keepNext w:val="0"/>
              <w:keepLines w:val="0"/>
              <w:suppressLineNumbers w:val="0"/>
              <w:spacing w:before="0" w:beforeAutospacing="0" w:after="0" w:afterAutospacing="0" w:line="400" w:lineRule="exact"/>
              <w:ind w:left="0" w:right="0" w:firstLine="420" w:firstLineChars="200"/>
              <w:jc w:val="left"/>
              <w:rPr>
                <w:rFonts w:hint="default" w:ascii="Times New Roman" w:hAnsi="Times New Roman" w:eastAsia="仿宋_GB2312" w:cs="Times New Roman"/>
                <w:snapToGrid w:val="0"/>
                <w:color w:val="auto"/>
                <w:sz w:val="30"/>
                <w:szCs w:val="30"/>
                <w:lang w:val="en-US" w:eastAsia="zh-CN"/>
              </w:rPr>
            </w:pPr>
            <w:r>
              <w:rPr>
                <w:rFonts w:hint="eastAsia" w:eastAsia="仿宋_GB2312" w:cs="Times New Roman"/>
                <w:color w:val="000000"/>
                <w:sz w:val="21"/>
                <w:szCs w:val="21"/>
                <w:lang w:val="en-US" w:eastAsia="zh-CN"/>
              </w:rPr>
              <w:t>3.通江县罗村煤矿有限责任公司罗村煤矿：煤，采矿权内控制资源量27.7万吨，推断资源量12.9万吨，合计40.6万吨；另外，压覆采矿权平面内标高外控制资源量3.0万吨，推断资源量12.6万吨，合计15.6万吨。</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经调查核实，在拟建项目影响区范围内存在3宗采矿权</w:t>
            </w:r>
            <w:r>
              <w:rPr>
                <w:rFonts w:hint="eastAsia" w:eastAsia="仿宋_GB2312" w:cs="Times New Roman"/>
                <w:color w:val="000000"/>
                <w:kern w:val="2"/>
                <w:sz w:val="21"/>
                <w:szCs w:val="21"/>
                <w:lang w:val="en-US" w:eastAsia="zh-CN" w:bidi="ar-SA"/>
              </w:rPr>
              <w:t>（四川通江县铁厂坡矿业有限责任公司铁厂坡煤矿（已关闭）、四川锦晟矿业有限公司杨家梁煤矿、通江县罗村煤矿有限责任公司罗村煤矿）。</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04A0047"/>
    <w:rsid w:val="01D24C09"/>
    <w:rsid w:val="052C6F98"/>
    <w:rsid w:val="073C399C"/>
    <w:rsid w:val="0E741BC0"/>
    <w:rsid w:val="0F510C48"/>
    <w:rsid w:val="0F5D3253"/>
    <w:rsid w:val="12C34231"/>
    <w:rsid w:val="160C13C3"/>
    <w:rsid w:val="1B8732E9"/>
    <w:rsid w:val="26031705"/>
    <w:rsid w:val="286C60A7"/>
    <w:rsid w:val="292C33BF"/>
    <w:rsid w:val="2A122105"/>
    <w:rsid w:val="2B7E329E"/>
    <w:rsid w:val="2C687A4B"/>
    <w:rsid w:val="2E747222"/>
    <w:rsid w:val="2EB74712"/>
    <w:rsid w:val="308402F0"/>
    <w:rsid w:val="32917387"/>
    <w:rsid w:val="33047233"/>
    <w:rsid w:val="38820B69"/>
    <w:rsid w:val="3C07147C"/>
    <w:rsid w:val="3C1328AE"/>
    <w:rsid w:val="3CA36CA8"/>
    <w:rsid w:val="3DB50464"/>
    <w:rsid w:val="3E13386B"/>
    <w:rsid w:val="42531B7C"/>
    <w:rsid w:val="437E6621"/>
    <w:rsid w:val="48C77C26"/>
    <w:rsid w:val="49991828"/>
    <w:rsid w:val="4D970B37"/>
    <w:rsid w:val="4EAE64BF"/>
    <w:rsid w:val="4F912937"/>
    <w:rsid w:val="51EC759B"/>
    <w:rsid w:val="53C9489D"/>
    <w:rsid w:val="53F430D0"/>
    <w:rsid w:val="5483718F"/>
    <w:rsid w:val="561363A9"/>
    <w:rsid w:val="56680AAE"/>
    <w:rsid w:val="57B73C80"/>
    <w:rsid w:val="5BE91C11"/>
    <w:rsid w:val="5C8B3520"/>
    <w:rsid w:val="5D21706A"/>
    <w:rsid w:val="5E200B57"/>
    <w:rsid w:val="5FEB64D6"/>
    <w:rsid w:val="60716DEE"/>
    <w:rsid w:val="62FA7748"/>
    <w:rsid w:val="669D5621"/>
    <w:rsid w:val="67F76100"/>
    <w:rsid w:val="699D154D"/>
    <w:rsid w:val="6B592915"/>
    <w:rsid w:val="6D165A8C"/>
    <w:rsid w:val="6D242065"/>
    <w:rsid w:val="6E232CDC"/>
    <w:rsid w:val="70555797"/>
    <w:rsid w:val="70897467"/>
    <w:rsid w:val="71025FC0"/>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Document Map"/>
    <w:basedOn w:val="1"/>
    <w:qFormat/>
    <w:uiPriority w:val="0"/>
    <w:rPr>
      <w:rFonts w:ascii="宋体"/>
      <w:sz w:val="18"/>
      <w:szCs w:val="18"/>
    </w:rPr>
  </w:style>
  <w:style w:type="paragraph" w:styleId="6">
    <w:name w:val="Body Text"/>
    <w:basedOn w:val="1"/>
    <w:unhideWhenUsed/>
    <w:qFormat/>
    <w:uiPriority w:val="99"/>
    <w:pPr>
      <w:spacing w:after="120"/>
    </w:pPr>
  </w:style>
  <w:style w:type="paragraph" w:styleId="7">
    <w:name w:val="toc 3"/>
    <w:basedOn w:val="1"/>
    <w:next w:val="1"/>
    <w:qFormat/>
    <w:uiPriority w:val="39"/>
    <w:rPr>
      <w:rFonts w:cs="Times New Roman"/>
    </w:rPr>
  </w:style>
  <w:style w:type="paragraph" w:styleId="8">
    <w:name w:val="Plain Text"/>
    <w:basedOn w:val="1"/>
    <w:next w:val="4"/>
    <w:qFormat/>
    <w:uiPriority w:val="0"/>
    <w:rPr>
      <w:rFonts w:ascii="宋体" w:hAnsi="Courier New"/>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style01"/>
    <w:qFormat/>
    <w:uiPriority w:val="0"/>
    <w:rPr>
      <w:rFonts w:hint="eastAsia" w:ascii="仿宋_GB2312" w:eastAsia="仿宋_GB2312"/>
      <w:color w:val="000000"/>
      <w:sz w:val="24"/>
      <w:szCs w:val="24"/>
    </w:rPr>
  </w:style>
  <w:style w:type="character" w:customStyle="1" w:styleId="14">
    <w:name w:val="font61"/>
    <w:basedOn w:val="12"/>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2023-03-24T02:08:11Z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