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spacing w:val="-11"/>
          <w:sz w:val="20"/>
          <w:szCs w:val="21"/>
        </w:rPr>
      </w:pPr>
      <w:r>
        <w:rPr>
          <w:rFonts w:hint="eastAsia" w:ascii="方正小标宋简体" w:hAnsi="方正小标宋简体" w:eastAsia="方正小标宋简体" w:cs="方正小标宋简体"/>
          <w:color w:val="000000"/>
          <w:spacing w:val="-11"/>
          <w:sz w:val="32"/>
          <w:szCs w:val="32"/>
        </w:rPr>
        <w:t>《泸州市叙永县永宁水库工程建设项目压覆已查明重要矿产资源评估报告》矿产资源储量评审备案公示信息表</w:t>
      </w:r>
    </w:p>
    <w:tbl>
      <w:tblPr>
        <w:tblStyle w:val="10"/>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8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申请人</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叙永县兴叙水务投资有限公司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报告名称</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eastAsia="仿宋_GB2312" w:cs="Times New Roman"/>
                <w:color w:val="000000"/>
                <w:sz w:val="21"/>
                <w:szCs w:val="21"/>
                <w:lang w:val="en-US" w:eastAsia="zh-CN"/>
              </w:rPr>
            </w:pPr>
            <w:r>
              <w:rPr>
                <w:rFonts w:hint="default" w:eastAsia="仿宋_GB2312" w:cs="Times New Roman"/>
                <w:color w:val="000000"/>
                <w:sz w:val="21"/>
                <w:szCs w:val="21"/>
                <w:lang w:val="en-US" w:eastAsia="zh-CN"/>
              </w:rPr>
              <w:t>《泸州市叙永县永宁水库工程建设项目压覆已查明重要矿产资源评估报告》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报告编制单位</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四川省一一三地质工程有限公司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主要编写人员</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游文华  廖梁平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矿业权证号</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矿业权人名称</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评审机构</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四川省矿产资源储量评审中心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评审专家</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b/>
                <w:bCs/>
                <w:color w:val="000000"/>
                <w:sz w:val="21"/>
                <w:szCs w:val="21"/>
                <w:lang w:val="en-US" w:eastAsia="zh-CN"/>
              </w:rPr>
            </w:pPr>
            <w:r>
              <w:rPr>
                <w:rFonts w:hint="eastAsia" w:eastAsia="仿宋_GB2312" w:cs="Times New Roman"/>
                <w:b w:val="0"/>
                <w:bCs w:val="0"/>
                <w:color w:val="000000"/>
                <w:sz w:val="21"/>
                <w:szCs w:val="21"/>
                <w:lang w:val="en-US" w:eastAsia="zh-CN"/>
              </w:rPr>
              <w:t>冉孟云  吴永贵  孙铁钢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eastAsia" w:ascii="仿宋_GB2312" w:hAnsi="仿宋_GB2312" w:eastAsia="仿宋_GB2312" w:cs="仿宋_GB2312"/>
                <w:color w:val="000000"/>
                <w:sz w:val="21"/>
                <w:szCs w:val="21"/>
                <w:lang w:val="en-US" w:eastAsia="zh-CN"/>
              </w:rPr>
              <w:t>工程压覆影响范围</w:t>
            </w:r>
          </w:p>
        </w:tc>
        <w:tc>
          <w:tcPr>
            <w:tcW w:w="8274" w:type="dxa"/>
            <w:noWrap w:val="0"/>
            <w:vAlign w:val="center"/>
          </w:tcPr>
          <w:p>
            <w:pPr>
              <w:keepNext w:val="0"/>
              <w:keepLines w:val="0"/>
              <w:suppressLineNumbers w:val="0"/>
              <w:spacing w:before="0" w:beforeAutospacing="0" w:after="0" w:afterAutospacing="0" w:line="400" w:lineRule="exact"/>
              <w:ind w:left="0" w:right="0" w:firstLine="420" w:firstLineChars="200"/>
              <w:jc w:val="left"/>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工程平面影响范围：大坝及发电厂房为用地红线外推300m，库区为校核洪位线外推50m，输水管线为用地红线外推33m；隧洞为洞壁外推20m。影响深度：大坝及发电厂房为坝基下以边界角计算至680m后垂直向下无限深，库区为水体底界最低点以下115m，输水管线隧洞和管道两河矿段100m、五角山井田125m，隧洞洞顶以上100m。移动角：坝区走向移动角60°、上山边界角60°、下山边界角36°,库区及输水管线走向移动角75°、上山移动角75°，库区及输水管线（两河矿段）下山移动角为51°、输水管线（五角山矿段）下山移动角为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压覆资源量估算工业指标</w:t>
            </w:r>
          </w:p>
        </w:tc>
        <w:tc>
          <w:tcPr>
            <w:tcW w:w="8274" w:type="dxa"/>
            <w:noWrap w:val="0"/>
            <w:vAlign w:val="center"/>
          </w:tcPr>
          <w:p>
            <w:pPr>
              <w:keepNext w:val="0"/>
              <w:keepLines w:val="0"/>
              <w:suppressLineNumbers w:val="0"/>
              <w:spacing w:before="0" w:beforeAutospacing="0" w:after="0" w:afterAutospacing="0" w:line="400" w:lineRule="exact"/>
              <w:ind w:left="0" w:right="0" w:firstLine="420" w:firstLineChars="200"/>
              <w:jc w:val="left"/>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采用原报告的工业指标，各矿产地分别如下：</w:t>
            </w:r>
          </w:p>
          <w:p>
            <w:pPr>
              <w:keepNext w:val="0"/>
              <w:keepLines w:val="0"/>
              <w:suppressLineNumbers w:val="0"/>
              <w:spacing w:before="0" w:beforeAutospacing="0" w:after="0" w:afterAutospacing="0" w:line="400" w:lineRule="exact"/>
              <w:ind w:left="0" w:right="0" w:firstLine="420" w:firstLineChars="200"/>
              <w:jc w:val="left"/>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（1）四川省叙永县川南煤田古叙矿区两河矿段煤炭普查，煤炭工业指标为：最小可采厚度（煤层倾角≥45°的0.50m，＜25°的0.70m），最低发热量（Q</w:t>
            </w:r>
            <w:r>
              <w:rPr>
                <w:rFonts w:hint="eastAsia" w:eastAsia="仿宋_GB2312" w:cs="Times New Roman"/>
                <w:color w:val="000000"/>
                <w:sz w:val="21"/>
                <w:szCs w:val="21"/>
                <w:vertAlign w:val="subscript"/>
                <w:lang w:val="en-US" w:eastAsia="zh-CN"/>
              </w:rPr>
              <w:t>net,d</w:t>
            </w:r>
            <w:r>
              <w:rPr>
                <w:rFonts w:hint="eastAsia" w:eastAsia="仿宋_GB2312" w:cs="Times New Roman"/>
                <w:color w:val="000000"/>
                <w:sz w:val="21"/>
                <w:szCs w:val="21"/>
                <w:lang w:val="en-US" w:eastAsia="zh-CN"/>
              </w:rPr>
              <w:t>）12.5MJ/kg；硫铁矿工业指标为：边界品位（TS）8%，最低工业品位（TS）14%，最小可采厚度0.70m，最小夹石剔除厚度1.0m。</w:t>
            </w:r>
            <w:bookmarkStart w:id="0" w:name="_GoBack"/>
            <w:bookmarkEnd w:id="0"/>
          </w:p>
          <w:p>
            <w:pPr>
              <w:keepNext w:val="0"/>
              <w:keepLines w:val="0"/>
              <w:suppressLineNumbers w:val="0"/>
              <w:spacing w:before="0" w:beforeAutospacing="0" w:after="0" w:afterAutospacing="0" w:line="400" w:lineRule="exact"/>
              <w:ind w:left="0" w:right="0" w:firstLine="420" w:firstLineChars="200"/>
              <w:jc w:val="left"/>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（2）叙永县五角山井田，硫铁矿边界品位（TS）8%，最低工业品位（TS）12%，最小可采厚度1.0m，最小夹石剔除厚度1.0m。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600" w:type="dxa"/>
            <w:noWrap w:val="0"/>
            <w:vAlign w:val="center"/>
          </w:tcPr>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评审备案目的</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建设项目压覆重要矿产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w:t>
            </w:r>
            <w:r>
              <w:rPr>
                <w:rFonts w:hint="default" w:ascii="Times New Roman" w:hAnsi="Times New Roman" w:eastAsia="仿宋_GB2312" w:cs="Times New Roman"/>
                <w:color w:val="000000"/>
                <w:sz w:val="21"/>
                <w:szCs w:val="21"/>
                <w:lang w:eastAsia="zh-CN"/>
              </w:rPr>
              <w:t>种</w:t>
            </w:r>
            <w:r>
              <w:rPr>
                <w:rFonts w:hint="default" w:ascii="Times New Roman" w:hAnsi="Times New Roman" w:eastAsia="仿宋_GB2312" w:cs="Times New Roman"/>
                <w:color w:val="000000"/>
                <w:sz w:val="21"/>
                <w:szCs w:val="21"/>
              </w:rPr>
              <w:t>名称</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评审备案资源储量</w:t>
            </w:r>
          </w:p>
        </w:tc>
        <w:tc>
          <w:tcPr>
            <w:tcW w:w="8274"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评审评定，拟建项目压覆的资源量为：</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1.叙永县五角山井田（硫铁矿）：矿石量控制资源量2.8万吨、推断资源量46.7万吨。平均品位：（TS）17.26%。</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2.两河矿段（省地勘基金项目）：</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①煤炭：推断资源量17.2万吨；</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②硫铁矿：推断资源量65.1万吨，平均品位：（TS）17.83%。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其他</w:t>
            </w:r>
          </w:p>
        </w:tc>
        <w:tc>
          <w:tcPr>
            <w:tcW w:w="8274" w:type="dxa"/>
            <w:noWrap w:val="0"/>
            <w:vAlign w:val="center"/>
          </w:tcPr>
          <w:p>
            <w:pPr>
              <w:keepNext w:val="0"/>
              <w:keepLines w:val="0"/>
              <w:suppressLineNumbers w:val="0"/>
              <w:adjustRightInd w:val="0"/>
              <w:snapToGrid w:val="0"/>
              <w:spacing w:before="0" w:beforeAutospacing="0" w:after="0" w:afterAutospacing="0" w:line="360" w:lineRule="auto"/>
              <w:ind w:left="0" w:right="0" w:firstLine="420" w:firstLineChars="200"/>
              <w:jc w:val="left"/>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经调查核实，在拟建项目影响区范围内存在已查明重要矿产资源的矿产地2处（叙永县五角山井田、叙永县胜利井田），省地勘基金项目1个（四川省叙永县川南煤田古叙矿区两河矿段煤炭普查）。</w:t>
            </w:r>
          </w:p>
        </w:tc>
      </w:tr>
    </w:tbl>
    <w:p>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xY2UyMzc5MDlkYjMwYWNmYjg4MGVmOGU4OTQzODIifQ=="/>
  </w:docVars>
  <w:rsids>
    <w:rsidRoot w:val="70555797"/>
    <w:rsid w:val="004A0047"/>
    <w:rsid w:val="01D24C09"/>
    <w:rsid w:val="052C6F98"/>
    <w:rsid w:val="073C399C"/>
    <w:rsid w:val="0E741BC0"/>
    <w:rsid w:val="0F510C48"/>
    <w:rsid w:val="0F5D3253"/>
    <w:rsid w:val="102E6CFE"/>
    <w:rsid w:val="12C34231"/>
    <w:rsid w:val="15827F48"/>
    <w:rsid w:val="160C13C3"/>
    <w:rsid w:val="1B8732E9"/>
    <w:rsid w:val="26031705"/>
    <w:rsid w:val="286C60A7"/>
    <w:rsid w:val="292C33BF"/>
    <w:rsid w:val="2A122105"/>
    <w:rsid w:val="2B7E329E"/>
    <w:rsid w:val="2C687A4B"/>
    <w:rsid w:val="2E747222"/>
    <w:rsid w:val="2EB74712"/>
    <w:rsid w:val="308402F0"/>
    <w:rsid w:val="31560EF9"/>
    <w:rsid w:val="32917387"/>
    <w:rsid w:val="33047233"/>
    <w:rsid w:val="38820B69"/>
    <w:rsid w:val="3C07147C"/>
    <w:rsid w:val="3C1328AE"/>
    <w:rsid w:val="3CA36CA8"/>
    <w:rsid w:val="3DB50464"/>
    <w:rsid w:val="3E13386B"/>
    <w:rsid w:val="420B7727"/>
    <w:rsid w:val="42531B7C"/>
    <w:rsid w:val="437E6621"/>
    <w:rsid w:val="48C77C26"/>
    <w:rsid w:val="49991828"/>
    <w:rsid w:val="4D970B37"/>
    <w:rsid w:val="4EAE64BF"/>
    <w:rsid w:val="4F912937"/>
    <w:rsid w:val="51EC759B"/>
    <w:rsid w:val="53C9489D"/>
    <w:rsid w:val="53F430D0"/>
    <w:rsid w:val="5483718F"/>
    <w:rsid w:val="56680AAE"/>
    <w:rsid w:val="57B73C80"/>
    <w:rsid w:val="5BE91C11"/>
    <w:rsid w:val="5C8B3520"/>
    <w:rsid w:val="5D21706A"/>
    <w:rsid w:val="5E200B57"/>
    <w:rsid w:val="5FEB64D6"/>
    <w:rsid w:val="60716DEE"/>
    <w:rsid w:val="62FA7748"/>
    <w:rsid w:val="66197317"/>
    <w:rsid w:val="669D5621"/>
    <w:rsid w:val="67F76100"/>
    <w:rsid w:val="699D154D"/>
    <w:rsid w:val="6B592915"/>
    <w:rsid w:val="6D165A8C"/>
    <w:rsid w:val="6D242065"/>
    <w:rsid w:val="6D9C6338"/>
    <w:rsid w:val="6E232CDC"/>
    <w:rsid w:val="6FA746D0"/>
    <w:rsid w:val="70555797"/>
    <w:rsid w:val="70897467"/>
    <w:rsid w:val="71025FC0"/>
    <w:rsid w:val="73AF3A03"/>
    <w:rsid w:val="743E4454"/>
    <w:rsid w:val="75F21F62"/>
    <w:rsid w:val="76604EA1"/>
    <w:rsid w:val="77587FBA"/>
    <w:rsid w:val="79FE3C3B"/>
    <w:rsid w:val="7C4611B3"/>
    <w:rsid w:val="7C525C29"/>
    <w:rsid w:val="7DF7A45B"/>
    <w:rsid w:val="7EBE43BD"/>
    <w:rsid w:val="7FDC3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宋体" w:hAnsi="宋体" w:eastAsia="宋体" w:cs="宋体"/>
      <w:kern w:val="2"/>
      <w:sz w:val="28"/>
      <w:szCs w:val="28"/>
      <w:lang w:val="en-US" w:eastAsia="zh-CN" w:bidi="ar"/>
    </w:rPr>
  </w:style>
  <w:style w:type="paragraph" w:styleId="3">
    <w:name w:val="Body Text Indent"/>
    <w:basedOn w:val="1"/>
    <w:qFormat/>
    <w:uiPriority w:val="0"/>
    <w:pPr>
      <w:ind w:firstLine="538" w:firstLineChars="192"/>
    </w:pPr>
    <w:rPr>
      <w:rFonts w:ascii="宋体" w:hAnsi="宋体"/>
      <w:sz w:val="28"/>
    </w:rPr>
  </w:style>
  <w:style w:type="paragraph" w:styleId="4">
    <w:name w:val="index 5"/>
    <w:basedOn w:val="1"/>
    <w:next w:val="1"/>
    <w:qFormat/>
    <w:uiPriority w:val="0"/>
    <w:pPr>
      <w:ind w:left="800" w:leftChars="800"/>
    </w:pPr>
  </w:style>
  <w:style w:type="paragraph" w:styleId="5">
    <w:name w:val="Document Map"/>
    <w:basedOn w:val="1"/>
    <w:qFormat/>
    <w:uiPriority w:val="0"/>
    <w:rPr>
      <w:rFonts w:ascii="宋体"/>
      <w:sz w:val="18"/>
      <w:szCs w:val="18"/>
    </w:rPr>
  </w:style>
  <w:style w:type="paragraph" w:styleId="6">
    <w:name w:val="Body Text"/>
    <w:basedOn w:val="1"/>
    <w:unhideWhenUsed/>
    <w:qFormat/>
    <w:uiPriority w:val="99"/>
    <w:pPr>
      <w:spacing w:after="120"/>
    </w:pPr>
  </w:style>
  <w:style w:type="paragraph" w:styleId="7">
    <w:name w:val="toc 3"/>
    <w:basedOn w:val="1"/>
    <w:next w:val="1"/>
    <w:qFormat/>
    <w:uiPriority w:val="39"/>
    <w:rPr>
      <w:rFonts w:cs="Times New Roman"/>
    </w:rPr>
  </w:style>
  <w:style w:type="paragraph" w:styleId="8">
    <w:name w:val="Plain Text"/>
    <w:basedOn w:val="1"/>
    <w:next w:val="4"/>
    <w:qFormat/>
    <w:uiPriority w:val="0"/>
    <w:rPr>
      <w:rFonts w:ascii="宋体" w:hAnsi="Courier New"/>
    </w:rPr>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fontstyle01"/>
    <w:qFormat/>
    <w:uiPriority w:val="0"/>
    <w:rPr>
      <w:rFonts w:hint="eastAsia" w:ascii="仿宋_GB2312" w:eastAsia="仿宋_GB2312"/>
      <w:color w:val="000000"/>
      <w:sz w:val="24"/>
      <w:szCs w:val="24"/>
    </w:rPr>
  </w:style>
  <w:style w:type="character" w:customStyle="1" w:styleId="14">
    <w:name w:val="font61"/>
    <w:basedOn w:val="12"/>
    <w:qFormat/>
    <w:uiPriority w:val="0"/>
    <w:rPr>
      <w:rFonts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854</Words>
  <Characters>956</Characters>
  <Lines>0</Lines>
  <Paragraphs>0</Paragraphs>
  <TotalTime>2</TotalTime>
  <ScaleCrop>false</ScaleCrop>
  <LinksUpToDate>false</LinksUpToDate>
  <CharactersWithSpaces>962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2022-01-17T09:14:00Z</dcterms:created>
  <dc:creator>雁过留声</dc:creator>
  <cp:lastModifiedBy>袁珊</cp:lastModifiedBy>
  <cp:lastPrinted>2022-01-19T08:42:00Z</cp:lastPrinted>
  <dcterms:modified xsi:type="dcterms:W3CDTF">2023-04-19T09:31:01Z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2D7DC2E98BD24984ADD227DE05EDAE69_12</vt:lpwstr>
  </property>
</Properties>
</file>