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《凉山州会理330MW光伏发电项目（一区）压覆已查明重要矿产资源评估报告》矿产资源储量评审备案公示信息表</w:t>
      </w:r>
    </w:p>
    <w:tbl>
      <w:tblPr>
        <w:tblStyle w:val="10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三峡川能（会理）新能源有限公司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《凉山州会理330MW光伏发电项目（一区）压覆已查明重要矿产资源评估报告》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四川省安盛勘察设计技术服务有限公司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苏 杭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何洪伟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冉孟云  魏文金  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工程平面影响范围：工程用地范围外推15m；影响深度为工程基础以下176m。评估区岩层移动角：走向移动角δ＝73°、上山移动角γ＝73°、下山移动角β＝47°。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压覆资源量估算工业指标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采用原报告的工业指标，分别如下：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(1)会理县王家坪井田：最小可采厚度0.50m，最高灰分（A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>d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）40%，最高硫分（S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>t,d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）3.0%。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(2)新山煤矿：最小可采厚度0.50m；最高灰分（A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>d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）40%，最低发热量（Q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>net,d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）12.5MJ/kg，最高硫分（S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>t,d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）3.0%。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评审评定，凉山州会理330MW光伏发电项目（一区）压覆资源量为：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1.王家坪井田（矿产地）：煤炭控制资源量35.7万吨。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2.新山煤矿（已关闭采矿权）：煤炭控制资源量28.1万吨。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经调查、核实，在拟建项目影响区范围内存在已查明重要矿产资源的矿产地2个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（会理县王家坪井田、会理县老山坪井田）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，采矿权1宗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（凉山州会理县德鑫煤业有限责任公司新山煤矿（已关闭））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Y2UyMzc5MDlkYjMwYWNmYjg4MGVmOGU4OTQzODIifQ=="/>
  </w:docVars>
  <w:rsids>
    <w:rsidRoot w:val="70555797"/>
    <w:rsid w:val="004A0047"/>
    <w:rsid w:val="01D24C09"/>
    <w:rsid w:val="052C6F98"/>
    <w:rsid w:val="073C399C"/>
    <w:rsid w:val="0E741BC0"/>
    <w:rsid w:val="0F510C48"/>
    <w:rsid w:val="0F5D3253"/>
    <w:rsid w:val="12C34231"/>
    <w:rsid w:val="15827F48"/>
    <w:rsid w:val="160C13C3"/>
    <w:rsid w:val="1B8732E9"/>
    <w:rsid w:val="1E0721E1"/>
    <w:rsid w:val="26031705"/>
    <w:rsid w:val="286C60A7"/>
    <w:rsid w:val="292C33BF"/>
    <w:rsid w:val="2A122105"/>
    <w:rsid w:val="2B7E329E"/>
    <w:rsid w:val="2C687A4B"/>
    <w:rsid w:val="2E747222"/>
    <w:rsid w:val="2EB74712"/>
    <w:rsid w:val="308402F0"/>
    <w:rsid w:val="31560EF9"/>
    <w:rsid w:val="32917387"/>
    <w:rsid w:val="33047233"/>
    <w:rsid w:val="34DD6D8C"/>
    <w:rsid w:val="38820B69"/>
    <w:rsid w:val="3C07147C"/>
    <w:rsid w:val="3C1328AE"/>
    <w:rsid w:val="3CA36CA8"/>
    <w:rsid w:val="3DB50464"/>
    <w:rsid w:val="3E13386B"/>
    <w:rsid w:val="42531B7C"/>
    <w:rsid w:val="437E6621"/>
    <w:rsid w:val="48C77C26"/>
    <w:rsid w:val="49991828"/>
    <w:rsid w:val="4BDD65B6"/>
    <w:rsid w:val="4D970B37"/>
    <w:rsid w:val="4EAE64BF"/>
    <w:rsid w:val="4F912937"/>
    <w:rsid w:val="5172316F"/>
    <w:rsid w:val="51EC759B"/>
    <w:rsid w:val="53C9489D"/>
    <w:rsid w:val="53F430D0"/>
    <w:rsid w:val="5483718F"/>
    <w:rsid w:val="56680AAE"/>
    <w:rsid w:val="57B73C80"/>
    <w:rsid w:val="5BE91C11"/>
    <w:rsid w:val="5C8B3520"/>
    <w:rsid w:val="5D21706A"/>
    <w:rsid w:val="5E200B57"/>
    <w:rsid w:val="5FEB64D6"/>
    <w:rsid w:val="60716DEE"/>
    <w:rsid w:val="62FA7748"/>
    <w:rsid w:val="669D5621"/>
    <w:rsid w:val="67F76100"/>
    <w:rsid w:val="699D154D"/>
    <w:rsid w:val="6B592915"/>
    <w:rsid w:val="6D165A8C"/>
    <w:rsid w:val="6D242065"/>
    <w:rsid w:val="6E232CDC"/>
    <w:rsid w:val="6FA746D0"/>
    <w:rsid w:val="70555797"/>
    <w:rsid w:val="70897467"/>
    <w:rsid w:val="71025FC0"/>
    <w:rsid w:val="73AF3A03"/>
    <w:rsid w:val="743E4454"/>
    <w:rsid w:val="75F21F62"/>
    <w:rsid w:val="76604EA1"/>
    <w:rsid w:val="77587FBA"/>
    <w:rsid w:val="79FE3C3B"/>
    <w:rsid w:val="7C4611B3"/>
    <w:rsid w:val="7C525C29"/>
    <w:rsid w:val="7DF7A45B"/>
    <w:rsid w:val="7EBE43BD"/>
    <w:rsid w:val="7FD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Document Map"/>
    <w:basedOn w:val="1"/>
    <w:qFormat/>
    <w:uiPriority w:val="0"/>
    <w:rPr>
      <w:rFonts w:ascii="宋体"/>
      <w:sz w:val="18"/>
      <w:szCs w:val="18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toc 3"/>
    <w:basedOn w:val="1"/>
    <w:next w:val="1"/>
    <w:qFormat/>
    <w:uiPriority w:val="39"/>
    <w:rPr>
      <w:rFonts w:cs="Times New Roman"/>
    </w:rPr>
  </w:style>
  <w:style w:type="paragraph" w:styleId="8">
    <w:name w:val="Plain Text"/>
    <w:basedOn w:val="1"/>
    <w:next w:val="4"/>
    <w:qFormat/>
    <w:uiPriority w:val="0"/>
    <w:rPr>
      <w:rFonts w:ascii="宋体" w:hAnsi="Courier New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4">
    <w:name w:val="font61"/>
    <w:basedOn w:val="12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</Words>
  <Characters>636</Characters>
  <Lines>0</Lines>
  <Paragraphs>0</Paragraphs>
  <TotalTime>2</TotalTime>
  <ScaleCrop>false</ScaleCrop>
  <LinksUpToDate>false</LinksUpToDate>
  <CharactersWithSpaces>644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2022-01-17T09:14:00Z</dcterms:created>
  <dc:creator>雁过留声</dc:creator>
  <cp:lastModifiedBy>袁珊</cp:lastModifiedBy>
  <cp:lastPrinted>2022-01-19T08:42:00Z</cp:lastPrinted>
  <dcterms:modified xsi:type="dcterms:W3CDTF">2023-04-19T09:31:05Z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2D7DC2E98BD24984ADD227DE05EDAE69_12</vt:lpwstr>
  </property>
</Properties>
</file>