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《自贡至永川高速公路（四川境）压覆已查明重要矿产资源评估报告》矿产资源储量评审备案公示信息表</w:t>
      </w:r>
    </w:p>
    <w:tbl>
      <w:tblPr>
        <w:tblStyle w:val="1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自贡市交通运输局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《自贡至永川高速公路（四川境）压覆已查明重要矿产资源评估报告》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四川省地质调查院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王玉婷</w:t>
            </w:r>
            <w:r>
              <w:rPr>
                <w:rFonts w:hint="eastAsia" w:eastAsia="仿宋_GB2312" w:cs="Times New Roman"/>
                <w:color w:val="000000"/>
                <w:sz w:val="21"/>
                <w:szCs w:val="21"/>
                <w:lang w:val="en-US" w:eastAsia="zh-CN"/>
              </w:rPr>
              <w:tab/>
            </w:r>
            <w:r>
              <w:rPr>
                <w:rFonts w:hint="eastAsia" w:eastAsia="仿宋_GB2312" w:cs="Times New Roman"/>
                <w:color w:val="000000"/>
                <w:sz w:val="21"/>
                <w:szCs w:val="21"/>
                <w:lang w:val="en-US" w:eastAsia="zh-CN"/>
              </w:rPr>
              <w:t xml:space="preserve">贺 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bookmarkStart w:id="0" w:name="_GoBack"/>
            <w:bookmarkEnd w:id="0"/>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冉孟云   肖建新   王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工程平面影响范围：路基、涵洞、互通连接线、房建等构（建）筑物等为用地红线外推100m，隧道为洞壁外推100m，中桥、大桥、特大桥及互通立交桥为用地红线外推200m。影响深度：路基、涵洞、互通连接线、房建等构（建）筑物等为基础底面向下458m，中桥、大桥、特大桥、隧道及互通立交桥为基础底面向下以移动角计算至458m后垂直向下无限深，隧道以上影响深度至地表。岩层移动角：走向移动角δ＝72.5°、上山移动角γ＝72.5°、下山移动角β＝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压覆资源量估算工业指标</w:t>
            </w:r>
          </w:p>
        </w:tc>
        <w:tc>
          <w:tcPr>
            <w:tcW w:w="8274" w:type="dxa"/>
            <w:noWrap w:val="0"/>
            <w:vAlign w:val="center"/>
          </w:tcPr>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本次压覆资源量估算的原始数据均引自各采矿权最近一次资源储量报告。采用的工业指标如下：</w:t>
            </w:r>
          </w:p>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内江市工农煤业有限责任公司工农煤矿、隆昌县大众煤矿：最小可采厚度0.25m，最低发热量12.5MJ/kg，最高灰分（A</w:t>
            </w:r>
            <w:r>
              <w:rPr>
                <w:rFonts w:hint="eastAsia" w:eastAsia="仿宋_GB2312" w:cs="Times New Roman"/>
                <w:color w:val="000000"/>
                <w:sz w:val="21"/>
                <w:szCs w:val="21"/>
                <w:vertAlign w:val="subscript"/>
                <w:lang w:val="en-US" w:eastAsia="zh-CN"/>
              </w:rPr>
              <w:t>d</w:t>
            </w:r>
            <w:r>
              <w:rPr>
                <w:rFonts w:hint="eastAsia" w:eastAsia="仿宋_GB2312" w:cs="Times New Roman"/>
                <w:color w:val="000000"/>
                <w:sz w:val="21"/>
                <w:szCs w:val="21"/>
                <w:lang w:val="en-US" w:eastAsia="zh-CN"/>
              </w:rPr>
              <w:t>）40%，最高硫分（S</w:t>
            </w:r>
            <w:r>
              <w:rPr>
                <w:rFonts w:hint="eastAsia" w:eastAsia="仿宋_GB2312" w:cs="Times New Roman"/>
                <w:color w:val="000000"/>
                <w:sz w:val="21"/>
                <w:szCs w:val="21"/>
                <w:vertAlign w:val="subscript"/>
                <w:lang w:val="en-US" w:eastAsia="zh-CN"/>
              </w:rPr>
              <w:t>t,d</w:t>
            </w:r>
            <w:r>
              <w:rPr>
                <w:rFonts w:hint="eastAsia" w:eastAsia="仿宋_GB2312" w:cs="Times New Roman"/>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评审评定，拟建自贡至永川高速公路（四川境）建设项目压覆资源量为：</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1.内江市工农煤业有限责任公司工农煤矿（已关闭）：煤，控制资源量1.0万吨，推断资源量40.8万吨，合计41.8万吨。</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2.隆昌县大众煤矿（已关闭）：煤，采矿权内控制资源量5.0万吨，推断资源量12.4万吨，合计17.4万吨；另外，压覆采矿权平面内标高外（内山厚炭煤层）推断资源量1.5万吨。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经调查核实，在拟建项目影响区范围内存在已查明重要矿产资源的矿产地4处</w:t>
            </w:r>
            <w:r>
              <w:rPr>
                <w:rFonts w:hint="eastAsia" w:eastAsia="仿宋_GB2312" w:cs="Times New Roman"/>
                <w:color w:val="000000"/>
                <w:kern w:val="2"/>
                <w:sz w:val="21"/>
                <w:szCs w:val="21"/>
                <w:lang w:val="en-US" w:eastAsia="zh-CN" w:bidi="ar-SA"/>
              </w:rPr>
              <w:t>（富顺县古佛井田、隆昌县桂花园井田、隆昌县白水滩井田、隆昌县双登口井田）</w:t>
            </w:r>
            <w:r>
              <w:rPr>
                <w:rFonts w:hint="default" w:ascii="Times New Roman" w:hAnsi="Times New Roman" w:eastAsia="仿宋_GB2312" w:cs="Times New Roman"/>
                <w:color w:val="000000"/>
                <w:kern w:val="2"/>
                <w:sz w:val="21"/>
                <w:szCs w:val="21"/>
                <w:lang w:val="en-US" w:eastAsia="zh-CN" w:bidi="ar-SA"/>
              </w:rPr>
              <w:t>，采矿权2宗（内江市工农煤业有限责任公司工农煤矿</w:t>
            </w:r>
            <w:r>
              <w:rPr>
                <w:rFonts w:hint="eastAsia" w:eastAsia="仿宋_GB2312" w:cs="Times New Roman"/>
                <w:color w:val="000000"/>
                <w:kern w:val="2"/>
                <w:sz w:val="21"/>
                <w:szCs w:val="21"/>
                <w:lang w:val="en-US" w:eastAsia="zh-CN" w:bidi="ar-SA"/>
              </w:rPr>
              <w:t>-</w:t>
            </w:r>
            <w:r>
              <w:rPr>
                <w:rFonts w:hint="default" w:ascii="Times New Roman" w:hAnsi="Times New Roman" w:eastAsia="仿宋_GB2312" w:cs="Times New Roman"/>
                <w:color w:val="000000"/>
                <w:kern w:val="2"/>
                <w:sz w:val="21"/>
                <w:szCs w:val="21"/>
                <w:lang w:val="en-US" w:eastAsia="zh-CN" w:bidi="ar-SA"/>
              </w:rPr>
              <w:t>已关闭</w:t>
            </w:r>
            <w:r>
              <w:rPr>
                <w:rFonts w:hint="eastAsia" w:eastAsia="仿宋_GB2312" w:cs="Times New Roman"/>
                <w:color w:val="000000"/>
                <w:kern w:val="2"/>
                <w:sz w:val="21"/>
                <w:szCs w:val="21"/>
                <w:lang w:val="en-US" w:eastAsia="zh-CN" w:bidi="ar-SA"/>
              </w:rPr>
              <w:t>、隆昌县大众煤矿-</w:t>
            </w:r>
            <w:r>
              <w:rPr>
                <w:rFonts w:hint="default" w:ascii="Times New Roman" w:hAnsi="Times New Roman" w:eastAsia="仿宋_GB2312" w:cs="Times New Roman"/>
                <w:color w:val="000000"/>
                <w:kern w:val="2"/>
                <w:sz w:val="21"/>
                <w:szCs w:val="21"/>
                <w:lang w:val="en-US" w:eastAsia="zh-CN" w:bidi="ar-SA"/>
              </w:rPr>
              <w:t>已关闭）。</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2UyMzc5MDlkYjMwYWNmYjg4MGVmOGU4OTQzODIifQ=="/>
  </w:docVars>
  <w:rsids>
    <w:rsidRoot w:val="70555797"/>
    <w:rsid w:val="004A0047"/>
    <w:rsid w:val="01D24C09"/>
    <w:rsid w:val="052C6F98"/>
    <w:rsid w:val="073C399C"/>
    <w:rsid w:val="0E741BC0"/>
    <w:rsid w:val="0ECF39FA"/>
    <w:rsid w:val="0F510C48"/>
    <w:rsid w:val="0F5D3253"/>
    <w:rsid w:val="102E6CFE"/>
    <w:rsid w:val="12C34231"/>
    <w:rsid w:val="15827F48"/>
    <w:rsid w:val="160C13C3"/>
    <w:rsid w:val="1B8732E9"/>
    <w:rsid w:val="26031705"/>
    <w:rsid w:val="286C60A7"/>
    <w:rsid w:val="292C33BF"/>
    <w:rsid w:val="2A122105"/>
    <w:rsid w:val="2B7E329E"/>
    <w:rsid w:val="2C687A4B"/>
    <w:rsid w:val="2E747222"/>
    <w:rsid w:val="2EB74712"/>
    <w:rsid w:val="308402F0"/>
    <w:rsid w:val="31560EF9"/>
    <w:rsid w:val="32917387"/>
    <w:rsid w:val="33047233"/>
    <w:rsid w:val="38820B69"/>
    <w:rsid w:val="3C07147C"/>
    <w:rsid w:val="3C1328AE"/>
    <w:rsid w:val="3CA36CA8"/>
    <w:rsid w:val="3DB50464"/>
    <w:rsid w:val="3E13386B"/>
    <w:rsid w:val="420B7727"/>
    <w:rsid w:val="42531B7C"/>
    <w:rsid w:val="437E6621"/>
    <w:rsid w:val="48C77C26"/>
    <w:rsid w:val="49991828"/>
    <w:rsid w:val="4D970B37"/>
    <w:rsid w:val="4EAE64BF"/>
    <w:rsid w:val="4F912937"/>
    <w:rsid w:val="51EC759B"/>
    <w:rsid w:val="53C9489D"/>
    <w:rsid w:val="53F430D0"/>
    <w:rsid w:val="5483718F"/>
    <w:rsid w:val="56680AAE"/>
    <w:rsid w:val="57B73C80"/>
    <w:rsid w:val="5BE91C11"/>
    <w:rsid w:val="5C8B3520"/>
    <w:rsid w:val="5D21706A"/>
    <w:rsid w:val="5E200B57"/>
    <w:rsid w:val="5FEB64D6"/>
    <w:rsid w:val="60716DEE"/>
    <w:rsid w:val="62FA7748"/>
    <w:rsid w:val="66197317"/>
    <w:rsid w:val="669D5621"/>
    <w:rsid w:val="67F76100"/>
    <w:rsid w:val="699D154D"/>
    <w:rsid w:val="6B592915"/>
    <w:rsid w:val="6D165A8C"/>
    <w:rsid w:val="6D242065"/>
    <w:rsid w:val="6D9C6338"/>
    <w:rsid w:val="6E232CDC"/>
    <w:rsid w:val="6FA746D0"/>
    <w:rsid w:val="70555797"/>
    <w:rsid w:val="70897467"/>
    <w:rsid w:val="71025FC0"/>
    <w:rsid w:val="73AF3A03"/>
    <w:rsid w:val="743E4454"/>
    <w:rsid w:val="75F21F62"/>
    <w:rsid w:val="76604EA1"/>
    <w:rsid w:val="77587FBA"/>
    <w:rsid w:val="79FE3C3B"/>
    <w:rsid w:val="7C4611B3"/>
    <w:rsid w:val="7C525C29"/>
    <w:rsid w:val="7DF7A45B"/>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Document Map"/>
    <w:basedOn w:val="1"/>
    <w:qFormat/>
    <w:uiPriority w:val="0"/>
    <w:rPr>
      <w:rFonts w:ascii="宋体"/>
      <w:sz w:val="18"/>
      <w:szCs w:val="18"/>
    </w:rPr>
  </w:style>
  <w:style w:type="paragraph" w:styleId="6">
    <w:name w:val="Body Text"/>
    <w:basedOn w:val="1"/>
    <w:unhideWhenUsed/>
    <w:qFormat/>
    <w:uiPriority w:val="99"/>
    <w:pPr>
      <w:spacing w:after="120"/>
    </w:pPr>
  </w:style>
  <w:style w:type="paragraph" w:styleId="7">
    <w:name w:val="toc 3"/>
    <w:basedOn w:val="1"/>
    <w:next w:val="1"/>
    <w:qFormat/>
    <w:uiPriority w:val="39"/>
    <w:rPr>
      <w:rFonts w:cs="Times New Roman"/>
    </w:rPr>
  </w:style>
  <w:style w:type="paragraph" w:styleId="8">
    <w:name w:val="Plain Text"/>
    <w:basedOn w:val="1"/>
    <w:next w:val="4"/>
    <w:qFormat/>
    <w:uiPriority w:val="0"/>
    <w:rPr>
      <w:rFonts w:ascii="宋体" w:hAnsi="Courier New"/>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style01"/>
    <w:qFormat/>
    <w:uiPriority w:val="0"/>
    <w:rPr>
      <w:rFonts w:hint="eastAsia" w:ascii="仿宋_GB2312" w:eastAsia="仿宋_GB2312"/>
      <w:color w:val="000000"/>
      <w:sz w:val="24"/>
      <w:szCs w:val="24"/>
    </w:rPr>
  </w:style>
  <w:style w:type="character" w:customStyle="1" w:styleId="14">
    <w:name w:val="font61"/>
    <w:basedOn w:val="12"/>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854</Words>
  <Characters>956</Characters>
  <Lines>0</Lines>
  <Paragraphs>0</Paragraphs>
  <TotalTime>1</TotalTime>
  <ScaleCrop>false</ScaleCrop>
  <LinksUpToDate>false</LinksUpToDate>
  <CharactersWithSpaces>962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2022-01-17T09:14:00Z</dcterms:created>
  <dc:creator>雁过留声</dc:creator>
  <cp:lastModifiedBy>袁珊</cp:lastModifiedBy>
  <cp:lastPrinted>2022-01-19T08:42:00Z</cp:lastPrinted>
  <dcterms:modified xsi:type="dcterms:W3CDTF">2023-04-21T01:47:30Z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2D7DC2E98BD24984ADD227DE05EDAE69_12</vt:lpwstr>
  </property>
</Properties>
</file>