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outlineLvl w:val="0"/>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rPr>
        <w:t>附件</w:t>
      </w:r>
      <w:r>
        <w:rPr>
          <w:rFonts w:hint="eastAsia" w:ascii="黑体" w:hAnsi="黑体" w:eastAsia="黑体" w:cs="黑体"/>
          <w:color w:val="000000"/>
          <w:sz w:val="32"/>
          <w:szCs w:val="32"/>
          <w:lang w:val="en-US" w:eastAsia="zh-CN"/>
        </w:rPr>
        <w:t>3</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0"/>
        <w:rPr>
          <w:spacing w:val="-11"/>
          <w:sz w:val="20"/>
          <w:szCs w:val="21"/>
        </w:rPr>
      </w:pPr>
      <w:r>
        <w:rPr>
          <w:rFonts w:hint="eastAsia" w:ascii="方正小标宋简体" w:hAnsi="方正小标宋简体" w:eastAsia="方正小标宋简体" w:cs="方正小标宋简体"/>
          <w:color w:val="000000"/>
          <w:spacing w:val="-11"/>
          <w:sz w:val="32"/>
          <w:szCs w:val="32"/>
        </w:rPr>
        <w:t>《犍为县旅游环线基础设施(一)期项目罗城古镇绕城旅游公路工程(仁沐新高速罗城互通至罗城游客中心段)压覆已查明重要矿产资源评估报告》矿产资源储量评审备案公示信息表</w:t>
      </w:r>
    </w:p>
    <w:tbl>
      <w:tblPr>
        <w:tblStyle w:val="10"/>
        <w:tblW w:w="9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0"/>
        <w:gridCol w:w="8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exact"/>
          <w:jc w:val="center"/>
        </w:trPr>
        <w:tc>
          <w:tcPr>
            <w:tcW w:w="1600"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申请人</w:t>
            </w:r>
          </w:p>
        </w:tc>
        <w:tc>
          <w:tcPr>
            <w:tcW w:w="8274" w:type="dxa"/>
            <w:noWrap w:val="0"/>
            <w:vAlign w:val="center"/>
          </w:tcPr>
          <w:p>
            <w:pPr>
              <w:keepNext w:val="0"/>
              <w:keepLines w:val="0"/>
              <w:suppressLineNumbers w:val="0"/>
              <w:spacing w:before="0" w:beforeAutospacing="0" w:after="0" w:afterAutospacing="0" w:line="240" w:lineRule="auto"/>
              <w:ind w:left="0" w:right="0"/>
              <w:jc w:val="center"/>
              <w:rPr>
                <w:rFonts w:hint="eastAsia" w:ascii="Times New Roman" w:hAnsi="Times New Roman" w:eastAsia="仿宋_GB2312" w:cs="Times New Roman"/>
                <w:color w:val="000000"/>
                <w:sz w:val="21"/>
                <w:szCs w:val="21"/>
                <w:lang w:val="en-US" w:eastAsia="zh-CN"/>
              </w:rPr>
            </w:pPr>
            <w:r>
              <w:rPr>
                <w:rFonts w:hint="eastAsia" w:ascii="Times New Roman" w:hAnsi="Times New Roman" w:eastAsia="仿宋_GB2312" w:cs="Times New Roman"/>
                <w:color w:val="000000"/>
                <w:sz w:val="21"/>
                <w:szCs w:val="21"/>
                <w:lang w:val="en-US" w:eastAsia="zh-CN"/>
              </w:rPr>
              <w:t>乐山犍为世纪旅游发展有限公司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exact"/>
          <w:jc w:val="center"/>
        </w:trPr>
        <w:tc>
          <w:tcPr>
            <w:tcW w:w="1600"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报告名称</w:t>
            </w:r>
          </w:p>
        </w:tc>
        <w:tc>
          <w:tcPr>
            <w:tcW w:w="8274" w:type="dxa"/>
            <w:noWrap w:val="0"/>
            <w:vAlign w:val="center"/>
          </w:tcPr>
          <w:p>
            <w:pPr>
              <w:keepNext w:val="0"/>
              <w:keepLines w:val="0"/>
              <w:suppressLineNumbers w:val="0"/>
              <w:spacing w:before="0" w:beforeAutospacing="0" w:after="0" w:afterAutospacing="0" w:line="240" w:lineRule="auto"/>
              <w:ind w:left="0" w:right="0"/>
              <w:jc w:val="center"/>
              <w:rPr>
                <w:rFonts w:hint="default" w:eastAsia="仿宋_GB2312" w:cs="Times New Roman"/>
                <w:color w:val="000000"/>
                <w:sz w:val="21"/>
                <w:szCs w:val="21"/>
                <w:lang w:val="en-US" w:eastAsia="zh-CN"/>
              </w:rPr>
            </w:pPr>
            <w:r>
              <w:rPr>
                <w:rFonts w:hint="default" w:eastAsia="仿宋_GB2312" w:cs="Times New Roman"/>
                <w:color w:val="000000"/>
                <w:sz w:val="21"/>
                <w:szCs w:val="21"/>
                <w:lang w:val="en-US" w:eastAsia="zh-CN"/>
              </w:rPr>
              <w:t>《犍为县旅游环线基础设施(一)期项目罗城古镇绕城旅游公路工程(仁沐新高速罗城互通至罗城游客中心段)压覆已查明重要矿产资源评估报告》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exact"/>
          <w:jc w:val="center"/>
        </w:trPr>
        <w:tc>
          <w:tcPr>
            <w:tcW w:w="1600"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报告编制单位</w:t>
            </w:r>
          </w:p>
        </w:tc>
        <w:tc>
          <w:tcPr>
            <w:tcW w:w="8274" w:type="dxa"/>
            <w:noWrap w:val="0"/>
            <w:vAlign w:val="center"/>
          </w:tcPr>
          <w:p>
            <w:pPr>
              <w:keepNext w:val="0"/>
              <w:keepLines w:val="0"/>
              <w:suppressLineNumbers w:val="0"/>
              <w:spacing w:before="0" w:beforeAutospacing="0" w:after="0" w:afterAutospacing="0" w:line="240" w:lineRule="auto"/>
              <w:ind w:left="0" w:right="0"/>
              <w:jc w:val="center"/>
              <w:rPr>
                <w:rFonts w:hint="eastAsia" w:eastAsia="仿宋_GB2312" w:cs="Times New Roman"/>
                <w:color w:val="000000"/>
                <w:sz w:val="21"/>
                <w:szCs w:val="21"/>
                <w:lang w:val="en-US" w:eastAsia="zh-CN"/>
              </w:rPr>
            </w:pPr>
            <w:r>
              <w:rPr>
                <w:rFonts w:hint="eastAsia" w:eastAsia="仿宋_GB2312" w:cs="Times New Roman"/>
                <w:color w:val="000000"/>
                <w:sz w:val="21"/>
                <w:szCs w:val="21"/>
                <w:lang w:val="en-US" w:eastAsia="zh-CN"/>
              </w:rPr>
              <w:t>众咨国际工程咨询有限公司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exact"/>
          <w:jc w:val="center"/>
        </w:trPr>
        <w:tc>
          <w:tcPr>
            <w:tcW w:w="1600" w:type="dxa"/>
            <w:noWrap w:val="0"/>
            <w:vAlign w:val="center"/>
          </w:tcPr>
          <w:p>
            <w:pPr>
              <w:keepNext w:val="0"/>
              <w:keepLines w:val="0"/>
              <w:suppressLineNumbers w:val="0"/>
              <w:spacing w:before="0" w:beforeAutospacing="0" w:after="0" w:afterAutospacing="0" w:line="400" w:lineRule="exact"/>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主要编写人员</w:t>
            </w:r>
          </w:p>
        </w:tc>
        <w:tc>
          <w:tcPr>
            <w:tcW w:w="8274" w:type="dxa"/>
            <w:noWrap w:val="0"/>
            <w:vAlign w:val="center"/>
          </w:tcPr>
          <w:p>
            <w:pPr>
              <w:keepNext w:val="0"/>
              <w:keepLines w:val="0"/>
              <w:suppressLineNumbers w:val="0"/>
              <w:spacing w:before="0" w:beforeAutospacing="0" w:after="0" w:afterAutospacing="0" w:line="400" w:lineRule="exact"/>
              <w:ind w:left="0" w:right="0"/>
              <w:jc w:val="center"/>
              <w:rPr>
                <w:rFonts w:hint="default" w:eastAsia="仿宋_GB2312" w:cs="Times New Roman"/>
                <w:color w:val="000000"/>
                <w:sz w:val="21"/>
                <w:szCs w:val="21"/>
                <w:lang w:val="en-US" w:eastAsia="zh-CN"/>
              </w:rPr>
            </w:pPr>
            <w:r>
              <w:rPr>
                <w:rFonts w:hint="default" w:eastAsia="仿宋_GB2312" w:cs="Times New Roman"/>
                <w:color w:val="000000"/>
                <w:sz w:val="21"/>
                <w:szCs w:val="21"/>
                <w:lang w:val="en-US" w:eastAsia="zh-CN"/>
              </w:rPr>
              <w:t>魏  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exact"/>
          <w:jc w:val="center"/>
        </w:trPr>
        <w:tc>
          <w:tcPr>
            <w:tcW w:w="1600"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矿业权证号</w:t>
            </w:r>
          </w:p>
        </w:tc>
        <w:tc>
          <w:tcPr>
            <w:tcW w:w="8274" w:type="dxa"/>
            <w:noWrap w:val="0"/>
            <w:vAlign w:val="center"/>
          </w:tcPr>
          <w:p>
            <w:pPr>
              <w:keepNext w:val="0"/>
              <w:keepLines w:val="0"/>
              <w:suppressLineNumbers w:val="0"/>
              <w:spacing w:before="0" w:beforeAutospacing="0" w:after="0" w:afterAutospacing="0" w:line="240" w:lineRule="auto"/>
              <w:ind w:left="0" w:right="0"/>
              <w:jc w:val="center"/>
              <w:rPr>
                <w:rFonts w:hint="default" w:eastAsia="仿宋_GB2312" w:cs="Times New Roman"/>
                <w:color w:val="000000"/>
                <w:sz w:val="21"/>
                <w:szCs w:val="21"/>
                <w:lang w:val="en-US" w:eastAsia="zh-CN"/>
              </w:rPr>
            </w:pPr>
            <w:r>
              <w:rPr>
                <w:rFonts w:hint="eastAsia" w:eastAsia="仿宋_GB2312" w:cs="Times New Roman"/>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exact"/>
          <w:jc w:val="center"/>
        </w:trPr>
        <w:tc>
          <w:tcPr>
            <w:tcW w:w="1600"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矿业权人名称</w:t>
            </w:r>
          </w:p>
        </w:tc>
        <w:tc>
          <w:tcPr>
            <w:tcW w:w="8274" w:type="dxa"/>
            <w:noWrap w:val="0"/>
            <w:vAlign w:val="center"/>
          </w:tcPr>
          <w:p>
            <w:pPr>
              <w:keepNext w:val="0"/>
              <w:keepLines w:val="0"/>
              <w:suppressLineNumbers w:val="0"/>
              <w:spacing w:before="0" w:beforeAutospacing="0" w:after="0" w:afterAutospacing="0" w:line="240" w:lineRule="auto"/>
              <w:ind w:left="0" w:right="0"/>
              <w:jc w:val="center"/>
              <w:rPr>
                <w:rFonts w:hint="eastAsia" w:eastAsia="仿宋_GB2312" w:cs="Times New Roman"/>
                <w:color w:val="000000"/>
                <w:sz w:val="21"/>
                <w:szCs w:val="21"/>
                <w:lang w:val="en-US" w:eastAsia="zh-CN"/>
              </w:rPr>
            </w:pPr>
            <w:r>
              <w:rPr>
                <w:rFonts w:hint="eastAsia" w:eastAsia="仿宋_GB2312" w:cs="Times New Roman"/>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jc w:val="center"/>
        </w:trPr>
        <w:tc>
          <w:tcPr>
            <w:tcW w:w="1600"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评审机构</w:t>
            </w:r>
          </w:p>
        </w:tc>
        <w:tc>
          <w:tcPr>
            <w:tcW w:w="8274"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color w:val="000000"/>
                <w:sz w:val="21"/>
                <w:szCs w:val="21"/>
                <w:lang w:eastAsia="zh-CN"/>
              </w:rPr>
            </w:pPr>
            <w:r>
              <w:rPr>
                <w:rFonts w:hint="default" w:ascii="Times New Roman" w:hAnsi="Times New Roman" w:eastAsia="仿宋_GB2312" w:cs="Times New Roman"/>
                <w:color w:val="000000"/>
                <w:sz w:val="21"/>
                <w:szCs w:val="21"/>
                <w:lang w:eastAsia="zh-CN"/>
              </w:rPr>
              <w:t>四川省矿产资源储量评审中心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exact"/>
          <w:jc w:val="center"/>
        </w:trPr>
        <w:tc>
          <w:tcPr>
            <w:tcW w:w="1600"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评审专家</w:t>
            </w:r>
          </w:p>
        </w:tc>
        <w:tc>
          <w:tcPr>
            <w:tcW w:w="8274" w:type="dxa"/>
            <w:noWrap w:val="0"/>
            <w:vAlign w:val="center"/>
          </w:tcPr>
          <w:p>
            <w:pPr>
              <w:keepNext w:val="0"/>
              <w:keepLines w:val="0"/>
              <w:suppressLineNumbers w:val="0"/>
              <w:spacing w:before="0" w:beforeAutospacing="0" w:after="0" w:afterAutospacing="0" w:line="240" w:lineRule="auto"/>
              <w:ind w:left="0" w:right="0"/>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val="0"/>
                <w:bCs w:val="0"/>
                <w:color w:val="000000"/>
                <w:sz w:val="21"/>
                <w:szCs w:val="21"/>
                <w:lang w:val="en-US" w:eastAsia="zh-CN"/>
              </w:rPr>
              <w:t>周凤云  赖贤友  秦岩宾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3" w:hRule="atLeast"/>
          <w:jc w:val="center"/>
        </w:trPr>
        <w:tc>
          <w:tcPr>
            <w:tcW w:w="1600" w:type="dxa"/>
            <w:noWrap w:val="0"/>
            <w:vAlign w:val="center"/>
          </w:tcPr>
          <w:p>
            <w:pPr>
              <w:keepNext w:val="0"/>
              <w:keepLines w:val="0"/>
              <w:suppressLineNumbers w:val="0"/>
              <w:spacing w:before="0" w:beforeAutospacing="0" w:after="0" w:afterAutospacing="0" w:line="400" w:lineRule="exact"/>
              <w:ind w:left="0" w:right="0"/>
              <w:jc w:val="center"/>
              <w:rPr>
                <w:rFonts w:hint="default" w:ascii="Times New Roman" w:hAnsi="Times New Roman" w:eastAsia="仿宋_GB2312" w:cs="Times New Roman"/>
                <w:color w:val="000000"/>
                <w:sz w:val="21"/>
                <w:szCs w:val="21"/>
              </w:rPr>
            </w:pPr>
            <w:r>
              <w:rPr>
                <w:rFonts w:hint="eastAsia" w:ascii="仿宋_GB2312" w:hAnsi="仿宋_GB2312" w:eastAsia="仿宋_GB2312" w:cs="仿宋_GB2312"/>
                <w:color w:val="000000"/>
                <w:sz w:val="21"/>
                <w:szCs w:val="21"/>
                <w:lang w:val="en-US" w:eastAsia="zh-CN"/>
              </w:rPr>
              <w:t>工程压覆影响范围</w:t>
            </w:r>
          </w:p>
        </w:tc>
        <w:tc>
          <w:tcPr>
            <w:tcW w:w="8274" w:type="dxa"/>
            <w:noWrap w:val="0"/>
            <w:vAlign w:val="center"/>
          </w:tcPr>
          <w:p>
            <w:pPr>
              <w:keepNext w:val="0"/>
              <w:keepLines w:val="0"/>
              <w:suppressLineNumbers w:val="0"/>
              <w:spacing w:before="0" w:beforeAutospacing="0" w:after="0" w:afterAutospacing="0" w:line="400" w:lineRule="exact"/>
              <w:ind w:left="0" w:right="0"/>
              <w:jc w:val="left"/>
              <w:rPr>
                <w:rFonts w:hint="eastAsia" w:eastAsia="仿宋_GB2312" w:cs="Times New Roman"/>
                <w:color w:val="000000"/>
                <w:sz w:val="21"/>
                <w:szCs w:val="21"/>
                <w:lang w:val="en-US" w:eastAsia="zh-CN"/>
              </w:rPr>
            </w:pPr>
            <w:r>
              <w:rPr>
                <w:rFonts w:hint="eastAsia" w:eastAsia="仿宋_GB2312" w:cs="Times New Roman"/>
                <w:color w:val="000000"/>
                <w:sz w:val="21"/>
                <w:szCs w:val="21"/>
                <w:lang w:val="en-US" w:eastAsia="zh-CN"/>
              </w:rPr>
              <w:t xml:space="preserve">   工程平面影响范围：公路征地范围外推100m，服务区征地范围外推10m。影响深度：设计基础以下303m。岩石移动角参数：走向移动角δ=70°，上山移动角γ=70°，下山移动角β=70°。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4" w:hRule="atLeast"/>
          <w:jc w:val="center"/>
        </w:trPr>
        <w:tc>
          <w:tcPr>
            <w:tcW w:w="1600" w:type="dxa"/>
            <w:noWrap w:val="0"/>
            <w:vAlign w:val="center"/>
          </w:tcPr>
          <w:p>
            <w:pPr>
              <w:keepNext w:val="0"/>
              <w:keepLines w:val="0"/>
              <w:suppressLineNumbers w:val="0"/>
              <w:spacing w:before="0" w:beforeAutospacing="0" w:after="0" w:afterAutospacing="0" w:line="400" w:lineRule="exact"/>
              <w:ind w:left="0" w:right="0"/>
              <w:jc w:val="center"/>
              <w:rPr>
                <w:rFonts w:hint="eastAsia" w:ascii="仿宋_GB2312" w:hAnsi="仿宋_GB2312" w:eastAsia="仿宋_GB2312" w:cs="仿宋_GB2312"/>
                <w:color w:val="000000"/>
                <w:sz w:val="21"/>
                <w:szCs w:val="21"/>
                <w:lang w:val="en-US" w:eastAsia="zh-CN"/>
              </w:rPr>
            </w:pPr>
            <w:r>
              <w:rPr>
                <w:rFonts w:hint="eastAsia" w:ascii="仿宋_GB2312" w:hAnsi="仿宋_GB2312" w:eastAsia="仿宋_GB2312" w:cs="仿宋_GB2312"/>
                <w:color w:val="000000"/>
                <w:sz w:val="21"/>
                <w:szCs w:val="21"/>
                <w:lang w:val="en-US" w:eastAsia="zh-CN"/>
              </w:rPr>
              <w:t>压覆资源量估算工业指标</w:t>
            </w:r>
          </w:p>
        </w:tc>
        <w:tc>
          <w:tcPr>
            <w:tcW w:w="8274" w:type="dxa"/>
            <w:noWrap w:val="0"/>
            <w:vAlign w:val="center"/>
          </w:tcPr>
          <w:p>
            <w:pPr>
              <w:keepNext w:val="0"/>
              <w:keepLines w:val="0"/>
              <w:suppressLineNumbers w:val="0"/>
              <w:spacing w:before="0" w:beforeAutospacing="0" w:after="0" w:afterAutospacing="0" w:line="400" w:lineRule="exact"/>
              <w:ind w:left="0" w:right="0" w:firstLine="420" w:firstLineChars="200"/>
              <w:jc w:val="left"/>
              <w:rPr>
                <w:rFonts w:hint="eastAsia" w:eastAsia="仿宋_GB2312" w:cs="Times New Roman"/>
                <w:color w:val="000000"/>
                <w:sz w:val="21"/>
                <w:szCs w:val="21"/>
                <w:lang w:val="en-US" w:eastAsia="zh-CN"/>
              </w:rPr>
            </w:pPr>
            <w:r>
              <w:rPr>
                <w:rFonts w:hint="eastAsia" w:eastAsia="仿宋_GB2312" w:cs="Times New Roman"/>
                <w:color w:val="000000"/>
                <w:sz w:val="21"/>
                <w:szCs w:val="21"/>
                <w:lang w:val="en-US" w:eastAsia="zh-CN"/>
              </w:rPr>
              <w:t>本次压覆资源量估算的工业指标沿用原勘探报告及资源储量核实报告中的工业指标：</w:t>
            </w:r>
          </w:p>
          <w:p>
            <w:pPr>
              <w:keepNext w:val="0"/>
              <w:keepLines w:val="0"/>
              <w:suppressLineNumbers w:val="0"/>
              <w:spacing w:before="0" w:beforeAutospacing="0" w:after="0" w:afterAutospacing="0" w:line="400" w:lineRule="exact"/>
              <w:ind w:left="0" w:right="0" w:firstLine="420" w:firstLineChars="200"/>
              <w:jc w:val="left"/>
              <w:rPr>
                <w:rFonts w:hint="eastAsia" w:eastAsia="仿宋_GB2312" w:cs="Times New Roman"/>
                <w:color w:val="000000"/>
                <w:sz w:val="21"/>
                <w:szCs w:val="21"/>
                <w:lang w:val="en-US" w:eastAsia="zh-CN"/>
              </w:rPr>
            </w:pPr>
            <w:r>
              <w:rPr>
                <w:rFonts w:hint="eastAsia" w:eastAsia="仿宋_GB2312" w:cs="Times New Roman"/>
                <w:color w:val="000000"/>
                <w:sz w:val="21"/>
                <w:szCs w:val="21"/>
                <w:lang w:val="en-US" w:eastAsia="zh-CN"/>
              </w:rPr>
              <w:t>狮子山井田：最小可采厚度，复杂结构煤层0.40m，简单结构煤层0.30m；最高灰分(A</w:t>
            </w:r>
            <w:r>
              <w:rPr>
                <w:rFonts w:hint="eastAsia" w:eastAsia="仿宋_GB2312" w:cs="Times New Roman"/>
                <w:color w:val="000000"/>
                <w:sz w:val="21"/>
                <w:szCs w:val="21"/>
                <w:vertAlign w:val="subscript"/>
                <w:lang w:val="en-US" w:eastAsia="zh-CN"/>
              </w:rPr>
              <w:t>d</w:t>
            </w:r>
            <w:r>
              <w:rPr>
                <w:rFonts w:hint="eastAsia" w:eastAsia="仿宋_GB2312" w:cs="Times New Roman"/>
                <w:color w:val="000000"/>
                <w:sz w:val="21"/>
                <w:szCs w:val="21"/>
                <w:lang w:val="en-US" w:eastAsia="zh-CN"/>
              </w:rPr>
              <w:t>)40%；最高硫分(S</w:t>
            </w:r>
            <w:r>
              <w:rPr>
                <w:rFonts w:hint="eastAsia" w:eastAsia="仿宋_GB2312" w:cs="Times New Roman"/>
                <w:color w:val="000000"/>
                <w:sz w:val="21"/>
                <w:szCs w:val="21"/>
                <w:vertAlign w:val="subscript"/>
                <w:lang w:val="en-US" w:eastAsia="zh-CN"/>
              </w:rPr>
              <w:t>t,d</w:t>
            </w:r>
            <w:r>
              <w:rPr>
                <w:rFonts w:hint="eastAsia" w:eastAsia="仿宋_GB2312" w:cs="Times New Roman"/>
                <w:color w:val="000000"/>
                <w:sz w:val="21"/>
                <w:szCs w:val="21"/>
                <w:lang w:val="en-US" w:eastAsia="zh-CN"/>
              </w:rPr>
              <w:t>)3.0%。</w:t>
            </w:r>
          </w:p>
          <w:p>
            <w:pPr>
              <w:keepNext w:val="0"/>
              <w:keepLines w:val="0"/>
              <w:suppressLineNumbers w:val="0"/>
              <w:spacing w:before="0" w:beforeAutospacing="0" w:after="0" w:afterAutospacing="0" w:line="400" w:lineRule="exact"/>
              <w:ind w:left="0" w:right="0" w:firstLine="420" w:firstLineChars="200"/>
              <w:jc w:val="left"/>
              <w:rPr>
                <w:rFonts w:hint="eastAsia" w:eastAsia="仿宋_GB2312" w:cs="Times New Roman"/>
                <w:color w:val="000000"/>
                <w:sz w:val="21"/>
                <w:szCs w:val="21"/>
                <w:lang w:val="en-US" w:eastAsia="zh-CN"/>
              </w:rPr>
            </w:pPr>
            <w:r>
              <w:rPr>
                <w:rFonts w:hint="eastAsia" w:eastAsia="仿宋_GB2312" w:cs="Times New Roman"/>
                <w:color w:val="000000"/>
                <w:sz w:val="21"/>
                <w:szCs w:val="21"/>
                <w:lang w:val="en-US" w:eastAsia="zh-CN"/>
              </w:rPr>
              <w:t>白鹤煤矿：最小可采厚度0.3m，最低发热量（Q</w:t>
            </w:r>
            <w:r>
              <w:rPr>
                <w:rFonts w:hint="eastAsia" w:eastAsia="仿宋_GB2312" w:cs="Times New Roman"/>
                <w:color w:val="000000"/>
                <w:sz w:val="21"/>
                <w:szCs w:val="21"/>
                <w:vertAlign w:val="subscript"/>
                <w:lang w:val="en-US" w:eastAsia="zh-CN"/>
              </w:rPr>
              <w:t>net,d</w:t>
            </w:r>
            <w:r>
              <w:rPr>
                <w:rFonts w:hint="eastAsia" w:eastAsia="仿宋_GB2312" w:cs="Times New Roman"/>
                <w:color w:val="000000"/>
                <w:sz w:val="21"/>
                <w:szCs w:val="21"/>
                <w:lang w:val="en-US" w:eastAsia="zh-CN"/>
              </w:rPr>
              <w:t>）12.5MJ/kg，最高硫分(S</w:t>
            </w:r>
            <w:r>
              <w:rPr>
                <w:rFonts w:hint="eastAsia" w:eastAsia="仿宋_GB2312" w:cs="Times New Roman"/>
                <w:color w:val="000000"/>
                <w:sz w:val="21"/>
                <w:szCs w:val="21"/>
                <w:vertAlign w:val="subscript"/>
                <w:lang w:val="en-US" w:eastAsia="zh-CN"/>
              </w:rPr>
              <w:t>t,d</w:t>
            </w:r>
            <w:r>
              <w:rPr>
                <w:rFonts w:hint="eastAsia" w:eastAsia="仿宋_GB2312" w:cs="Times New Roman"/>
                <w:color w:val="000000"/>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600" w:type="dxa"/>
            <w:noWrap w:val="0"/>
            <w:vAlign w:val="center"/>
          </w:tcPr>
          <w:p>
            <w:pPr>
              <w:keepNext w:val="0"/>
              <w:keepLines w:val="0"/>
              <w:suppressLineNumbers w:val="0"/>
              <w:spacing w:before="0" w:beforeAutospacing="0" w:after="0" w:afterAutospacing="0" w:line="400" w:lineRule="exact"/>
              <w:ind w:left="0" w:leftChars="0" w:right="0" w:rightChars="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评审备案目的</w:t>
            </w:r>
          </w:p>
        </w:tc>
        <w:tc>
          <w:tcPr>
            <w:tcW w:w="8274" w:type="dxa"/>
            <w:noWrap w:val="0"/>
            <w:vAlign w:val="center"/>
          </w:tcPr>
          <w:p>
            <w:pPr>
              <w:keepNext w:val="0"/>
              <w:keepLines w:val="0"/>
              <w:suppressLineNumbers w:val="0"/>
              <w:spacing w:before="0" w:beforeAutospacing="0" w:after="0" w:afterAutospacing="0" w:line="400" w:lineRule="exact"/>
              <w:ind w:left="0" w:right="0"/>
              <w:jc w:val="center"/>
              <w:rPr>
                <w:rFonts w:hint="eastAsia" w:eastAsia="仿宋_GB2312" w:cs="Times New Roman"/>
                <w:color w:val="000000"/>
                <w:sz w:val="21"/>
                <w:szCs w:val="21"/>
                <w:lang w:val="en-US" w:eastAsia="zh-CN"/>
              </w:rPr>
            </w:pPr>
            <w:r>
              <w:rPr>
                <w:rFonts w:hint="eastAsia" w:eastAsia="仿宋_GB2312" w:cs="Times New Roman"/>
                <w:color w:val="000000"/>
                <w:sz w:val="21"/>
                <w:szCs w:val="21"/>
                <w:lang w:val="en-US" w:eastAsia="zh-CN"/>
              </w:rPr>
              <w:t>建设项目压覆重要矿产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600" w:type="dxa"/>
            <w:noWrap w:val="0"/>
            <w:vAlign w:val="center"/>
          </w:tcPr>
          <w:p>
            <w:pPr>
              <w:keepNext w:val="0"/>
              <w:keepLines w:val="0"/>
              <w:suppressLineNumbers w:val="0"/>
              <w:spacing w:before="0" w:beforeAutospacing="0" w:after="0" w:afterAutospacing="0" w:line="400" w:lineRule="exact"/>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评审备案</w:t>
            </w:r>
          </w:p>
          <w:p>
            <w:pPr>
              <w:keepNext w:val="0"/>
              <w:keepLines w:val="0"/>
              <w:suppressLineNumbers w:val="0"/>
              <w:spacing w:before="0" w:beforeAutospacing="0" w:after="0" w:afterAutospacing="0" w:line="400" w:lineRule="exact"/>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矿</w:t>
            </w:r>
            <w:r>
              <w:rPr>
                <w:rFonts w:hint="default" w:ascii="Times New Roman" w:hAnsi="Times New Roman" w:eastAsia="仿宋_GB2312" w:cs="Times New Roman"/>
                <w:color w:val="000000"/>
                <w:sz w:val="21"/>
                <w:szCs w:val="21"/>
                <w:lang w:eastAsia="zh-CN"/>
              </w:rPr>
              <w:t>种</w:t>
            </w:r>
            <w:r>
              <w:rPr>
                <w:rFonts w:hint="default" w:ascii="Times New Roman" w:hAnsi="Times New Roman" w:eastAsia="仿宋_GB2312" w:cs="Times New Roman"/>
                <w:color w:val="000000"/>
                <w:sz w:val="21"/>
                <w:szCs w:val="21"/>
              </w:rPr>
              <w:t>名称</w:t>
            </w:r>
          </w:p>
        </w:tc>
        <w:tc>
          <w:tcPr>
            <w:tcW w:w="8274" w:type="dxa"/>
            <w:noWrap w:val="0"/>
            <w:vAlign w:val="center"/>
          </w:tcPr>
          <w:p>
            <w:pPr>
              <w:keepNext w:val="0"/>
              <w:keepLines w:val="0"/>
              <w:suppressLineNumbers w:val="0"/>
              <w:spacing w:before="0" w:beforeAutospacing="0" w:after="0" w:afterAutospacing="0" w:line="400" w:lineRule="exact"/>
              <w:ind w:left="0" w:right="0"/>
              <w:jc w:val="center"/>
              <w:rPr>
                <w:rFonts w:hint="default" w:eastAsia="仿宋_GB2312" w:cs="Times New Roman"/>
                <w:color w:val="000000"/>
                <w:sz w:val="21"/>
                <w:szCs w:val="21"/>
                <w:lang w:val="en-US" w:eastAsia="zh-CN"/>
              </w:rPr>
            </w:pPr>
            <w:r>
              <w:rPr>
                <w:rFonts w:hint="eastAsia" w:eastAsia="仿宋_GB2312" w:cs="Times New Roman"/>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1600" w:type="dxa"/>
            <w:noWrap w:val="0"/>
            <w:vAlign w:val="center"/>
          </w:tcPr>
          <w:p>
            <w:pPr>
              <w:keepNext w:val="0"/>
              <w:keepLines w:val="0"/>
              <w:suppressLineNumbers w:val="0"/>
              <w:spacing w:before="0" w:beforeAutospacing="0" w:after="0" w:afterAutospacing="0" w:line="400" w:lineRule="exact"/>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评审备案资源储量</w:t>
            </w:r>
          </w:p>
        </w:tc>
        <w:tc>
          <w:tcPr>
            <w:tcW w:w="8274" w:type="dxa"/>
            <w:noWrap w:val="0"/>
            <w:vAlign w:val="center"/>
          </w:tcPr>
          <w:p>
            <w:pPr>
              <w:pStyle w:val="2"/>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left"/>
              <w:textAlignment w:val="auto"/>
              <w:rPr>
                <w:rFonts w:hint="eastAsia"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s="Times New Roman"/>
                <w:color w:val="000000"/>
                <w:kern w:val="2"/>
                <w:sz w:val="21"/>
                <w:szCs w:val="21"/>
                <w:lang w:val="en-US" w:eastAsia="zh-CN" w:bidi="ar-SA"/>
              </w:rPr>
              <w:t>评审评定，拟建犍为县旅游环线基础设施(一)期项目罗城古镇绕城旅游公路工程(仁沐新高速罗城互通至罗城游客中心段)压覆已查明重要矿产资源量为：</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left"/>
              <w:textAlignment w:val="auto"/>
              <w:rPr>
                <w:rFonts w:hint="eastAsia"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s="Times New Roman"/>
                <w:color w:val="000000"/>
                <w:kern w:val="2"/>
                <w:sz w:val="21"/>
                <w:szCs w:val="21"/>
                <w:lang w:val="en-US" w:eastAsia="zh-CN" w:bidi="ar-SA"/>
              </w:rPr>
              <w:t>1.犍为县狮子山井田(矿产地)：探明资源量2.6万吨，控制资源量37.8万吨，合计40.4万吨。</w:t>
            </w:r>
          </w:p>
          <w:p>
            <w:pPr>
              <w:pStyle w:val="2"/>
              <w:keepNext w:val="0"/>
              <w:keepLines w:val="0"/>
              <w:pageBreakBefore w:val="0"/>
              <w:widowControl w:val="0"/>
              <w:kinsoku/>
              <w:wordWrap/>
              <w:overflowPunct/>
              <w:topLinePunct w:val="0"/>
              <w:autoSpaceDE/>
              <w:autoSpaceDN/>
              <w:bidi w:val="0"/>
              <w:adjustRightInd w:val="0"/>
              <w:snapToGrid w:val="0"/>
              <w:spacing w:line="240" w:lineRule="auto"/>
              <w:ind w:left="0" w:leftChars="0" w:firstLine="420" w:firstLineChars="200"/>
              <w:jc w:val="left"/>
              <w:textAlignment w:val="auto"/>
              <w:rPr>
                <w:rFonts w:hint="eastAsia" w:ascii="Times New Roman" w:hAnsi="Times New Roman" w:eastAsia="仿宋_GB2312" w:cs="Times New Roman"/>
                <w:color w:val="000000"/>
                <w:kern w:val="2"/>
                <w:sz w:val="21"/>
                <w:szCs w:val="21"/>
                <w:lang w:val="en-US" w:eastAsia="zh-CN" w:bidi="ar-SA"/>
              </w:rPr>
            </w:pPr>
            <w:r>
              <w:rPr>
                <w:rFonts w:hint="eastAsia" w:ascii="Times New Roman" w:hAnsi="Times New Roman" w:eastAsia="仿宋_GB2312" w:cs="Times New Roman"/>
                <w:color w:val="000000"/>
                <w:kern w:val="2"/>
                <w:sz w:val="21"/>
                <w:szCs w:val="21"/>
                <w:lang w:val="en-US" w:eastAsia="zh-CN" w:bidi="ar-SA"/>
              </w:rPr>
              <w:t>2.乐山白鹤煤矿有限公司白鹤煤矿：控制资源量48.2万吨，推断资源量2.3万吨，合计50.5万吨。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600" w:type="dxa"/>
            <w:noWrap w:val="0"/>
            <w:vAlign w:val="center"/>
          </w:tcPr>
          <w:p>
            <w:pPr>
              <w:keepNext w:val="0"/>
              <w:keepLines w:val="0"/>
              <w:suppressLineNumbers w:val="0"/>
              <w:spacing w:before="0" w:beforeAutospacing="0" w:after="0" w:afterAutospacing="0" w:line="400" w:lineRule="exact"/>
              <w:ind w:left="0" w:right="0"/>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其他</w:t>
            </w:r>
          </w:p>
        </w:tc>
        <w:tc>
          <w:tcPr>
            <w:tcW w:w="8274" w:type="dxa"/>
            <w:noWrap w:val="0"/>
            <w:vAlign w:val="center"/>
          </w:tcPr>
          <w:p>
            <w:pPr>
              <w:keepNext w:val="0"/>
              <w:keepLines w:val="0"/>
              <w:suppressLineNumbers w:val="0"/>
              <w:adjustRightInd w:val="0"/>
              <w:snapToGrid w:val="0"/>
              <w:spacing w:before="0" w:beforeAutospacing="0" w:after="0" w:afterAutospacing="0" w:line="360" w:lineRule="auto"/>
              <w:ind w:left="0" w:right="0" w:firstLine="420" w:firstLineChars="200"/>
              <w:jc w:val="left"/>
              <w:rPr>
                <w:rFonts w:hint="default" w:ascii="Times New Roman" w:hAnsi="Times New Roman" w:eastAsia="仿宋_GB2312" w:cs="Times New Roman"/>
                <w:color w:val="000000"/>
                <w:kern w:val="2"/>
                <w:sz w:val="21"/>
                <w:szCs w:val="21"/>
                <w:lang w:val="en-US" w:eastAsia="zh-CN" w:bidi="ar-SA"/>
              </w:rPr>
            </w:pPr>
            <w:r>
              <w:rPr>
                <w:rFonts w:hint="default" w:ascii="Times New Roman" w:hAnsi="Times New Roman" w:eastAsia="仿宋_GB2312" w:cs="Times New Roman"/>
                <w:color w:val="000000"/>
                <w:kern w:val="2"/>
                <w:sz w:val="21"/>
                <w:szCs w:val="21"/>
                <w:lang w:val="en-US" w:eastAsia="zh-CN" w:bidi="ar-SA"/>
              </w:rPr>
              <w:t>经调查核实，在拟建工程影响区范围内存在已查明重要矿产资源的矿产地1处</w:t>
            </w:r>
            <w:r>
              <w:rPr>
                <w:rFonts w:hint="eastAsia" w:eastAsia="仿宋_GB2312" w:cs="Times New Roman"/>
                <w:color w:val="000000"/>
                <w:kern w:val="2"/>
                <w:sz w:val="21"/>
                <w:szCs w:val="21"/>
                <w:lang w:val="en-US" w:eastAsia="zh-CN" w:bidi="ar-SA"/>
              </w:rPr>
              <w:t>（犍为县狮子山井田）</w:t>
            </w:r>
            <w:r>
              <w:rPr>
                <w:rFonts w:hint="default" w:ascii="Times New Roman" w:hAnsi="Times New Roman" w:eastAsia="仿宋_GB2312" w:cs="Times New Roman"/>
                <w:color w:val="000000"/>
                <w:kern w:val="2"/>
                <w:sz w:val="21"/>
                <w:szCs w:val="21"/>
                <w:lang w:val="en-US" w:eastAsia="zh-CN" w:bidi="ar-SA"/>
              </w:rPr>
              <w:t>，采矿权2宗</w:t>
            </w:r>
            <w:r>
              <w:rPr>
                <w:rFonts w:hint="eastAsia" w:eastAsia="仿宋_GB2312" w:cs="Times New Roman"/>
                <w:color w:val="000000"/>
                <w:kern w:val="2"/>
                <w:sz w:val="21"/>
                <w:szCs w:val="21"/>
                <w:lang w:val="en-US" w:eastAsia="zh-CN" w:bidi="ar-SA"/>
              </w:rPr>
              <w:t>（乐山白鹤煤矿有限公司白鹤煤矿、犍为县陶家河煤业有限公司陶家河煤矿）。</w:t>
            </w:r>
          </w:p>
        </w:tc>
      </w:tr>
    </w:tbl>
    <w:p>
      <w:pPr>
        <w:pStyle w:val="2"/>
        <w:ind w:left="0" w:leftChars="0" w:firstLine="0" w:firstLineChars="0"/>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xY2UyMzc5MDlkYjMwYWNmYjg4MGVmOGU4OTQzODIifQ=="/>
  </w:docVars>
  <w:rsids>
    <w:rsidRoot w:val="70555797"/>
    <w:rsid w:val="004A0047"/>
    <w:rsid w:val="01D24C09"/>
    <w:rsid w:val="052C6F98"/>
    <w:rsid w:val="073C399C"/>
    <w:rsid w:val="0E741BC0"/>
    <w:rsid w:val="0F510C48"/>
    <w:rsid w:val="0F5D3253"/>
    <w:rsid w:val="12C34231"/>
    <w:rsid w:val="15827F48"/>
    <w:rsid w:val="160C13C3"/>
    <w:rsid w:val="1B8732E9"/>
    <w:rsid w:val="26031705"/>
    <w:rsid w:val="286C60A7"/>
    <w:rsid w:val="28EF1AC8"/>
    <w:rsid w:val="292C33BF"/>
    <w:rsid w:val="2A122105"/>
    <w:rsid w:val="2B7E329E"/>
    <w:rsid w:val="2C687A4B"/>
    <w:rsid w:val="2E747222"/>
    <w:rsid w:val="2EB74712"/>
    <w:rsid w:val="308402F0"/>
    <w:rsid w:val="32917387"/>
    <w:rsid w:val="33047233"/>
    <w:rsid w:val="38820B69"/>
    <w:rsid w:val="3C07147C"/>
    <w:rsid w:val="3C1328AE"/>
    <w:rsid w:val="3CA36CA8"/>
    <w:rsid w:val="3DB50464"/>
    <w:rsid w:val="3DFA2D3E"/>
    <w:rsid w:val="3E13386B"/>
    <w:rsid w:val="42531B7C"/>
    <w:rsid w:val="437E6621"/>
    <w:rsid w:val="48C77C26"/>
    <w:rsid w:val="49991828"/>
    <w:rsid w:val="4D970B37"/>
    <w:rsid w:val="4EAE64BF"/>
    <w:rsid w:val="4F912937"/>
    <w:rsid w:val="51EC759B"/>
    <w:rsid w:val="53C9489D"/>
    <w:rsid w:val="53F430D0"/>
    <w:rsid w:val="5483718F"/>
    <w:rsid w:val="56680AAE"/>
    <w:rsid w:val="57B73C80"/>
    <w:rsid w:val="5BE91C11"/>
    <w:rsid w:val="5C8B3520"/>
    <w:rsid w:val="5D21706A"/>
    <w:rsid w:val="5E200B57"/>
    <w:rsid w:val="5FEB64D6"/>
    <w:rsid w:val="600602F4"/>
    <w:rsid w:val="60716DEE"/>
    <w:rsid w:val="62FA7748"/>
    <w:rsid w:val="669D5621"/>
    <w:rsid w:val="67F76100"/>
    <w:rsid w:val="68CC1C5B"/>
    <w:rsid w:val="699D154D"/>
    <w:rsid w:val="6B592915"/>
    <w:rsid w:val="6C187E99"/>
    <w:rsid w:val="6D165A8C"/>
    <w:rsid w:val="6D242065"/>
    <w:rsid w:val="6E232CDC"/>
    <w:rsid w:val="70555797"/>
    <w:rsid w:val="70897467"/>
    <w:rsid w:val="71025FC0"/>
    <w:rsid w:val="73AF3A03"/>
    <w:rsid w:val="743E4454"/>
    <w:rsid w:val="75F21F62"/>
    <w:rsid w:val="76604EA1"/>
    <w:rsid w:val="77587FBA"/>
    <w:rsid w:val="79FE3C3B"/>
    <w:rsid w:val="7C4611B3"/>
    <w:rsid w:val="7C525C29"/>
    <w:rsid w:val="7DF7A45B"/>
    <w:rsid w:val="7EBE43BD"/>
    <w:rsid w:val="7FDC3D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qFormat/>
    <w:uiPriority w:val="0"/>
    <w:pPr>
      <w:keepNext w:val="0"/>
      <w:keepLines w:val="0"/>
      <w:widowControl w:val="0"/>
      <w:suppressLineNumbers w:val="0"/>
      <w:spacing w:before="0" w:beforeAutospacing="0" w:after="0" w:afterAutospacing="0"/>
      <w:ind w:left="0" w:right="0" w:firstLine="420" w:firstLineChars="200"/>
      <w:jc w:val="both"/>
    </w:pPr>
    <w:rPr>
      <w:rFonts w:hint="eastAsia" w:ascii="宋体" w:hAnsi="宋体" w:eastAsia="宋体" w:cs="宋体"/>
      <w:kern w:val="2"/>
      <w:sz w:val="28"/>
      <w:szCs w:val="28"/>
      <w:lang w:val="en-US" w:eastAsia="zh-CN" w:bidi="ar"/>
    </w:rPr>
  </w:style>
  <w:style w:type="paragraph" w:styleId="3">
    <w:name w:val="Body Text Indent"/>
    <w:basedOn w:val="1"/>
    <w:qFormat/>
    <w:uiPriority w:val="0"/>
    <w:pPr>
      <w:ind w:firstLine="538" w:firstLineChars="192"/>
    </w:pPr>
    <w:rPr>
      <w:rFonts w:ascii="宋体" w:hAnsi="宋体"/>
      <w:sz w:val="28"/>
    </w:rPr>
  </w:style>
  <w:style w:type="paragraph" w:styleId="4">
    <w:name w:val="index 5"/>
    <w:basedOn w:val="1"/>
    <w:next w:val="1"/>
    <w:qFormat/>
    <w:uiPriority w:val="0"/>
    <w:pPr>
      <w:ind w:left="800" w:leftChars="800"/>
    </w:pPr>
  </w:style>
  <w:style w:type="paragraph" w:styleId="5">
    <w:name w:val="Document Map"/>
    <w:basedOn w:val="1"/>
    <w:qFormat/>
    <w:uiPriority w:val="0"/>
    <w:rPr>
      <w:rFonts w:ascii="宋体"/>
      <w:sz w:val="18"/>
      <w:szCs w:val="18"/>
    </w:rPr>
  </w:style>
  <w:style w:type="paragraph" w:styleId="6">
    <w:name w:val="Body Text"/>
    <w:basedOn w:val="1"/>
    <w:unhideWhenUsed/>
    <w:qFormat/>
    <w:uiPriority w:val="99"/>
    <w:pPr>
      <w:spacing w:after="120"/>
    </w:pPr>
  </w:style>
  <w:style w:type="paragraph" w:styleId="7">
    <w:name w:val="toc 3"/>
    <w:basedOn w:val="1"/>
    <w:next w:val="1"/>
    <w:qFormat/>
    <w:uiPriority w:val="39"/>
    <w:rPr>
      <w:rFonts w:cs="Times New Roman"/>
    </w:rPr>
  </w:style>
  <w:style w:type="paragraph" w:styleId="8">
    <w:name w:val="Plain Text"/>
    <w:basedOn w:val="1"/>
    <w:next w:val="4"/>
    <w:qFormat/>
    <w:uiPriority w:val="0"/>
    <w:rPr>
      <w:rFonts w:ascii="宋体" w:hAnsi="Courier New"/>
    </w:rPr>
  </w:style>
  <w:style w:type="paragraph" w:styleId="9">
    <w:name w:val="Normal (Web)"/>
    <w:basedOn w:val="1"/>
    <w:qFormat/>
    <w:uiPriority w:val="0"/>
    <w:rPr>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fontstyle01"/>
    <w:qFormat/>
    <w:uiPriority w:val="0"/>
    <w:rPr>
      <w:rFonts w:hint="eastAsia" w:ascii="仿宋_GB2312" w:eastAsia="仿宋_GB2312"/>
      <w:color w:val="000000"/>
      <w:sz w:val="24"/>
      <w:szCs w:val="24"/>
    </w:rPr>
  </w:style>
  <w:style w:type="character" w:customStyle="1" w:styleId="14">
    <w:name w:val="font61"/>
    <w:basedOn w:val="12"/>
    <w:qFormat/>
    <w:uiPriority w:val="0"/>
    <w:rPr>
      <w:rFonts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459</Words>
  <Characters>471</Characters>
  <Lines>0</Lines>
  <Paragraphs>0</Paragraphs>
  <TotalTime>1</TotalTime>
  <ScaleCrop>false</ScaleCrop>
  <LinksUpToDate>false</LinksUpToDate>
  <CharactersWithSpaces>480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2022-01-17T09:14:00Z</dcterms:created>
  <dc:creator>雁过留声</dc:creator>
  <cp:lastModifiedBy>袁珊</cp:lastModifiedBy>
  <cp:lastPrinted>2022-01-19T08:42:00Z</cp:lastPrinted>
  <dcterms:modified xsi:type="dcterms:W3CDTF">2023-05-31T08:10:48Z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2D7DC2E98BD24984ADD227DE05EDAE69_12</vt:lpwstr>
  </property>
</Properties>
</file>