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《四川省冕宁县泸沽铁矿资源储量核实报告》矿产资源储量评审备案公示信息表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四川锦宁矿业有限责任公司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《四川省冕宁县泸沽铁矿资源储量核实报告》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四川省地质矿产勘查开发局四〇四地质队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周 涯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叶征宇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张苇苇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C5100002010122120093733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四川锦宁矿业有限责任公司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刘图强  蒋先忠  刘智权  李永建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TFe边界品位15%，TFe工业品位20%，最小可采厚度1m，最小夹石剔除厚度1m。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非油气矿产在采矿期间资源储量发生重大变化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评审通过的采矿权范围内资源储量见下表。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tbl>
            <w:tblPr>
              <w:tblStyle w:val="12"/>
              <w:tblW w:w="5601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5"/>
              <w:gridCol w:w="1023"/>
              <w:gridCol w:w="1407"/>
              <w:gridCol w:w="1292"/>
              <w:gridCol w:w="93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  <w:jc w:val="center"/>
              </w:trPr>
              <w:tc>
                <w:tcPr>
                  <w:tcW w:w="3375" w:type="dxa"/>
                  <w:gridSpan w:val="3"/>
                  <w:vMerge w:val="restart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  <w:t>资源储量</w:t>
                  </w:r>
                </w:p>
              </w:tc>
              <w:tc>
                <w:tcPr>
                  <w:tcW w:w="2226" w:type="dxa"/>
                  <w:gridSpan w:val="2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铁矿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8" w:hRule="atLeast"/>
                <w:jc w:val="center"/>
              </w:trPr>
              <w:tc>
                <w:tcPr>
                  <w:tcW w:w="3375" w:type="dxa"/>
                  <w:gridSpan w:val="3"/>
                  <w:vMerge w:val="continue"/>
                  <w:tcBorders>
                    <w:bottom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矿石量(万吨)</w:t>
                  </w:r>
                </w:p>
              </w:tc>
              <w:tc>
                <w:tcPr>
                  <w:tcW w:w="934" w:type="dxa"/>
                  <w:tcBorders>
                    <w:bottom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平均品位(%)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4" w:hRule="atLeast"/>
                <w:jc w:val="center"/>
              </w:trPr>
              <w:tc>
                <w:tcPr>
                  <w:tcW w:w="945" w:type="dxa"/>
                  <w:vMerge w:val="restart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资源量</w:t>
                  </w:r>
                </w:p>
              </w:tc>
              <w:tc>
                <w:tcPr>
                  <w:tcW w:w="1023" w:type="dxa"/>
                  <w:vMerge w:val="restart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保有</w:t>
                  </w:r>
                </w:p>
              </w:tc>
              <w:tc>
                <w:tcPr>
                  <w:tcW w:w="1407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探明资源量</w:t>
                  </w: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296.7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37.66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23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407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控制资源量</w:t>
                  </w: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350.5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36.19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推断资源量</w:t>
                  </w: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411.4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37.13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小计</w:t>
                  </w: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1058.6</w:t>
                  </w:r>
                </w:p>
              </w:tc>
              <w:tc>
                <w:tcPr>
                  <w:tcW w:w="934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36.97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restart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动用</w:t>
                  </w:r>
                </w:p>
              </w:tc>
              <w:tc>
                <w:tcPr>
                  <w:tcW w:w="140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探明资源量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1880.6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49.44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8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1880.6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49.44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gridSpan w:val="2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累计查明资源量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2939.2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pacing w:val="-6"/>
                      <w:sz w:val="18"/>
                      <w:szCs w:val="18"/>
                    </w:rPr>
                    <w:t>44.93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restart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储量</w:t>
                  </w:r>
                </w:p>
              </w:tc>
              <w:tc>
                <w:tcPr>
                  <w:tcW w:w="1023" w:type="dxa"/>
                  <w:vMerge w:val="restart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保有</w:t>
                  </w: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证实储量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207.3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37.66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可信储量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244.9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36.19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小计</w:t>
                  </w:r>
                </w:p>
              </w:tc>
              <w:tc>
                <w:tcPr>
                  <w:tcW w:w="1292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452.2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36.86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restart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动用</w:t>
                  </w: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证实储量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1313.9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49.44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小计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1313.9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49.44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2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restart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动用+保有</w:t>
                  </w: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证实储量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1521.2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47.83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0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 w:val="continue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可信储量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244.9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36.19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945" w:type="dxa"/>
                  <w:vMerge w:val="continue"/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gridSpan w:val="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1292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1766.1</w:t>
                  </w:r>
                </w:p>
              </w:tc>
              <w:tc>
                <w:tcPr>
                  <w:tcW w:w="934" w:type="dxa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eastAsia="仿宋_GB2312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kern w:val="0"/>
                      <w:sz w:val="18"/>
                      <w:szCs w:val="18"/>
                      <w:lang w:bidi="ar"/>
                    </w:rPr>
                    <w:t>46.22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00" w:firstLineChars="100"/>
              <w:outlineLvl w:val="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另，估算采矿权平面内标高外（标高+2145m～+1998m）：推断矿石资源量50.6万吨，平均品位TFe 43.81%。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累计查明资源量增加了838.5万吨。变化主要原因：一是增加了控矿工程揭露，矿体向深部延伸，估算面积增大。二是原矿体经本次工作后证实其形态及厚度发生了变化，部分保有块段较原报告厚度增大。三是新发现了Ⅲ矿体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3CF2"/>
    <w:multiLevelType w:val="multilevel"/>
    <w:tmpl w:val="2AF23CF2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560" w:firstLine="0"/>
      </w:pPr>
      <w:rPr>
        <w:rFonts w:hint="eastAsia"/>
        <w:sz w:val="24"/>
        <w:szCs w:val="24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55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975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4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8A61DEA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76127DE"/>
    <w:rsid w:val="38820B69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2625E22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firstLineChars="0"/>
      <w:jc w:val="center"/>
      <w:outlineLvl w:val="1"/>
    </w:pPr>
    <w:rPr>
      <w:rFonts w:eastAsia="宋体" w:cstheme="majorBidi"/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3"/>
    <w:basedOn w:val="1"/>
    <w:next w:val="1"/>
    <w:qFormat/>
    <w:uiPriority w:val="39"/>
    <w:rPr>
      <w:rFonts w:cs="Times New Roman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800</Characters>
  <Lines>0</Lines>
  <Paragraphs>0</Paragraphs>
  <TotalTime>5</TotalTime>
  <ScaleCrop>false</ScaleCrop>
  <LinksUpToDate>false</LinksUpToDate>
  <CharactersWithSpaces>810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2023-07-21T01:58:54Z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