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《成都高新技术产业开发区（西区）压覆已查明重要矿产资源评估报告》矿产资源储量评审备案公示信息表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成都高新技术产业开发区公园城市建设局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《成都高新技术产业开发区（西区）压覆已查明重要矿产资源评估报告》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四川天府恒顺通工程设计有限公司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张帅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王伟  张建洪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刘宗祥  李永</w:t>
            </w:r>
            <w:bookmarkStart w:id="0" w:name="_GoBack"/>
            <w:bookmarkEnd w:id="0"/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建  王 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工程用地范围外推15m；压覆影响深度：工程设计标高以下100m；岩层移动角参数：工区内第四系松散层厚度远大于工程影响深度，工程影响区不涉及基岩层，故不考虑走向、上山、下山移动角，仅设置松散层移动角，松散层移动角（φ）设置为55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评审评定，成都高新技术产业开发区（西区）项目未压覆已查明重要矿产资源。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经调查核实，在工程影响区范围内存在重要矿产资源采矿权1宗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四川蓝光美尚饮品股份有限公司郫县蓝光德源矿泉）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</w:tr>
    </w:tbl>
    <w:p>
      <w:pPr>
        <w:pStyle w:val="9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E741BC0"/>
    <w:rsid w:val="0E900702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rPr>
      <w:rFonts w:cs="Times New Roman"/>
    </w:rPr>
  </w:style>
  <w:style w:type="paragraph" w:styleId="3">
    <w:name w:val="index 5"/>
    <w:basedOn w:val="1"/>
    <w:next w:val="1"/>
    <w:qFormat/>
    <w:uiPriority w:val="0"/>
    <w:pPr>
      <w:ind w:left="800" w:leftChars="800"/>
    </w:pPr>
  </w:style>
  <w:style w:type="paragraph" w:styleId="4">
    <w:name w:val="Document Map"/>
    <w:basedOn w:val="1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paragraph" w:styleId="6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7">
    <w:name w:val="Plain Text"/>
    <w:basedOn w:val="1"/>
    <w:next w:val="3"/>
    <w:qFormat/>
    <w:uiPriority w:val="0"/>
    <w:rPr>
      <w:rFonts w:ascii="宋体" w:hAnsi="Courier New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2023-08-24T01:48:11Z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2D7DC2E98BD24984ADD227DE05EDAE69_12</vt:lpwstr>
  </property>
</Properties>
</file>