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default" w:ascii="Times New Roman" w:hAnsi="Times New Roman" w:eastAsia="黑体" w:cs="Times New Roman"/>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《马尔康党坝锂辉石矿马桑沟尾矿库项目压覆已查明重要矿产</w:t>
      </w:r>
      <w:bookmarkStart w:id="0" w:name="_GoBack"/>
      <w:bookmarkEnd w:id="0"/>
      <w:r>
        <w:rPr>
          <w:rFonts w:hint="eastAsia" w:ascii="方正小标宋简体" w:hAnsi="方正小标宋简体" w:eastAsia="方正小标宋简体" w:cs="方正小标宋简体"/>
          <w:color w:val="000000"/>
          <w:spacing w:val="-11"/>
          <w:sz w:val="32"/>
          <w:szCs w:val="32"/>
        </w:rPr>
        <w:t>资源评估报告》</w:t>
      </w:r>
      <w:r>
        <w:rPr>
          <w:rFonts w:hint="eastAsia" w:ascii="方正小标宋简体" w:hAnsi="方正小标宋简体" w:eastAsia="方正小标宋简体" w:cs="方正小标宋简体"/>
          <w:color w:val="000000" w:themeColor="text1"/>
          <w:spacing w:val="-11"/>
          <w:sz w:val="32"/>
          <w:szCs w:val="32"/>
          <w14:textFill>
            <w14:solidFill>
              <w14:schemeClr w14:val="tx1"/>
            </w14:solidFill>
          </w14:textFill>
        </w:rPr>
        <w:t>矿产资源储量</w:t>
      </w:r>
      <w:r>
        <w:rPr>
          <w:rFonts w:hint="eastAsia" w:ascii="方正小标宋简体" w:hAnsi="方正小标宋简体" w:eastAsia="方正小标宋简体" w:cs="方正小标宋简体"/>
          <w:color w:val="000000"/>
          <w:spacing w:val="-11"/>
          <w:sz w:val="32"/>
          <w:szCs w:val="32"/>
        </w:rPr>
        <w:t>评审备案公示信息表</w:t>
      </w:r>
    </w:p>
    <w:tbl>
      <w:tblPr>
        <w:tblStyle w:val="11"/>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马尔康金鑫矿业有限公司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《马尔康党坝锂辉石矿马桑沟尾矿库项目压覆已查明重要矿产资源评估报告》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重庆开源地质勘探有限公司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向活力  陈新  刘嘉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郑辉  蒋先忠  秦岩宾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leftChars="0" w:right="0" w:rightChars="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工程平面影响范围：以工程用地红线外扩15m；影响深度：初期坝基础标高向下以移动角计算至668m后垂直向下无限深，堆积坝基础向下445m，排洪系统、清污分流系统、尾矿库管理房、消能设施等基础向下223m；岩石移动角参数：走向移动角78°，上山移动角78°，下山移动角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keepNext w:val="0"/>
              <w:keepLines w:val="0"/>
              <w:suppressLineNumbers w:val="0"/>
              <w:spacing w:before="0" w:beforeAutospacing="0" w:after="0" w:afterAutospacing="0" w:line="400" w:lineRule="exact"/>
              <w:ind w:left="0" w:right="0" w:rightChars="0" w:firstLine="420" w:firstLineChars="200"/>
              <w:jc w:val="left"/>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评审评定，拟建马尔康党坝锂辉石矿马桑沟尾矿库项目未压覆已查明重要矿产资源。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经调查核实，在拟建项目影响区范围内存在已查明重要矿产资源矿产地2个</w:t>
            </w:r>
            <w:r>
              <w:rPr>
                <w:rFonts w:hint="eastAsia" w:eastAsia="仿宋_GB2312" w:cs="Times New Roman"/>
                <w:color w:val="000000"/>
                <w:kern w:val="2"/>
                <w:sz w:val="21"/>
                <w:szCs w:val="21"/>
                <w:lang w:val="en-US" w:eastAsia="zh-CN" w:bidi="ar-SA"/>
              </w:rPr>
              <w:t>（四川省马尔康县白湾锂矿区、四川省马尔康县党坝锂辉石矿区喇嘛庙矿段），</w:t>
            </w:r>
            <w:r>
              <w:rPr>
                <w:rFonts w:hint="eastAsia" w:ascii="Times New Roman" w:hAnsi="Times New Roman" w:eastAsia="仿宋_GB2312" w:cs="Times New Roman"/>
                <w:color w:val="000000"/>
                <w:kern w:val="2"/>
                <w:sz w:val="21"/>
                <w:szCs w:val="21"/>
                <w:lang w:val="en-US" w:eastAsia="zh-CN" w:bidi="ar-SA"/>
              </w:rPr>
              <w:t>省地勘基金项目1个</w:t>
            </w:r>
            <w:r>
              <w:rPr>
                <w:rFonts w:hint="eastAsia" w:eastAsia="仿宋_GB2312" w:cs="Times New Roman"/>
                <w:color w:val="000000"/>
                <w:kern w:val="2"/>
                <w:sz w:val="21"/>
                <w:szCs w:val="21"/>
                <w:lang w:val="en-US" w:eastAsia="zh-CN" w:bidi="ar-SA"/>
              </w:rPr>
              <w:t>（四川省马尔康县可尔因花岗伟晶岩地区锂铍铌钽稀有金属矿普查）</w:t>
            </w:r>
            <w:r>
              <w:rPr>
                <w:rFonts w:hint="eastAsia" w:ascii="Times New Roman" w:hAnsi="Times New Roman" w:eastAsia="仿宋_GB2312" w:cs="Times New Roman"/>
                <w:color w:val="000000"/>
                <w:kern w:val="2"/>
                <w:sz w:val="21"/>
                <w:szCs w:val="21"/>
                <w:lang w:val="en-US" w:eastAsia="zh-CN" w:bidi="ar-SA"/>
              </w:rPr>
              <w:t>。</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ODAxODRjMmNjOTAyMDBhZDZhODRiOWM5NzUxOTEifQ=="/>
  </w:docVars>
  <w:rsids>
    <w:rsidRoot w:val="70555797"/>
    <w:rsid w:val="004A0047"/>
    <w:rsid w:val="01D24C09"/>
    <w:rsid w:val="04F2757C"/>
    <w:rsid w:val="052C6F98"/>
    <w:rsid w:val="073C399C"/>
    <w:rsid w:val="0E741BC0"/>
    <w:rsid w:val="0ECF39FA"/>
    <w:rsid w:val="0F510C48"/>
    <w:rsid w:val="0F5D3253"/>
    <w:rsid w:val="102E6CFE"/>
    <w:rsid w:val="12C34231"/>
    <w:rsid w:val="15827F48"/>
    <w:rsid w:val="15B30049"/>
    <w:rsid w:val="160C13C3"/>
    <w:rsid w:val="16D05E56"/>
    <w:rsid w:val="1A4A4952"/>
    <w:rsid w:val="1B8732E9"/>
    <w:rsid w:val="1DC5D91E"/>
    <w:rsid w:val="20B8127E"/>
    <w:rsid w:val="21AE5290"/>
    <w:rsid w:val="26031705"/>
    <w:rsid w:val="286C60A7"/>
    <w:rsid w:val="292C33BF"/>
    <w:rsid w:val="2A122105"/>
    <w:rsid w:val="2B7E329E"/>
    <w:rsid w:val="2C687A4B"/>
    <w:rsid w:val="2E1003E7"/>
    <w:rsid w:val="2E747222"/>
    <w:rsid w:val="2EB74712"/>
    <w:rsid w:val="30831D8D"/>
    <w:rsid w:val="308402F0"/>
    <w:rsid w:val="31560EF9"/>
    <w:rsid w:val="32917387"/>
    <w:rsid w:val="33047233"/>
    <w:rsid w:val="36613B84"/>
    <w:rsid w:val="37A97621"/>
    <w:rsid w:val="38820B69"/>
    <w:rsid w:val="3C07147C"/>
    <w:rsid w:val="3C107593"/>
    <w:rsid w:val="3C1328AE"/>
    <w:rsid w:val="3CA36CA8"/>
    <w:rsid w:val="3DB50464"/>
    <w:rsid w:val="3E13386B"/>
    <w:rsid w:val="3E3E3CE1"/>
    <w:rsid w:val="3FEA1C36"/>
    <w:rsid w:val="40047891"/>
    <w:rsid w:val="420B7727"/>
    <w:rsid w:val="42531B7C"/>
    <w:rsid w:val="437E6621"/>
    <w:rsid w:val="48C77C26"/>
    <w:rsid w:val="49991828"/>
    <w:rsid w:val="4B8915E0"/>
    <w:rsid w:val="4D970B37"/>
    <w:rsid w:val="4EAE64BF"/>
    <w:rsid w:val="4F912937"/>
    <w:rsid w:val="5144296E"/>
    <w:rsid w:val="51EC759B"/>
    <w:rsid w:val="53C9489D"/>
    <w:rsid w:val="53F430D0"/>
    <w:rsid w:val="5483718F"/>
    <w:rsid w:val="54D41A90"/>
    <w:rsid w:val="56680AAE"/>
    <w:rsid w:val="57B73C80"/>
    <w:rsid w:val="5BE91C11"/>
    <w:rsid w:val="5C8B3520"/>
    <w:rsid w:val="5D21706A"/>
    <w:rsid w:val="5E200B57"/>
    <w:rsid w:val="5F561AE4"/>
    <w:rsid w:val="5FEB64D6"/>
    <w:rsid w:val="60716DEE"/>
    <w:rsid w:val="609617FC"/>
    <w:rsid w:val="619619C3"/>
    <w:rsid w:val="62DD6DFC"/>
    <w:rsid w:val="62FA7748"/>
    <w:rsid w:val="66197317"/>
    <w:rsid w:val="669D5621"/>
    <w:rsid w:val="67F76100"/>
    <w:rsid w:val="699D154D"/>
    <w:rsid w:val="6B592915"/>
    <w:rsid w:val="6D165A8C"/>
    <w:rsid w:val="6D242065"/>
    <w:rsid w:val="6D9C6338"/>
    <w:rsid w:val="6DB02859"/>
    <w:rsid w:val="6DDD0CCA"/>
    <w:rsid w:val="6E232CDC"/>
    <w:rsid w:val="6FA746D0"/>
    <w:rsid w:val="70555797"/>
    <w:rsid w:val="70897467"/>
    <w:rsid w:val="71025FC0"/>
    <w:rsid w:val="73AF3A03"/>
    <w:rsid w:val="743E4454"/>
    <w:rsid w:val="75F21F62"/>
    <w:rsid w:val="76604EA1"/>
    <w:rsid w:val="7673B778"/>
    <w:rsid w:val="77587FBA"/>
    <w:rsid w:val="787A42BA"/>
    <w:rsid w:val="79FE3C3B"/>
    <w:rsid w:val="7A6C0338"/>
    <w:rsid w:val="7C4611B3"/>
    <w:rsid w:val="7C525C29"/>
    <w:rsid w:val="7DF7A45B"/>
    <w:rsid w:val="7E78443D"/>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autoRedefine/>
    <w:unhideWhenUsed/>
    <w:qFormat/>
    <w:uiPriority w:val="9"/>
    <w:pPr>
      <w:spacing w:before="200" w:after="0"/>
      <w:outlineLvl w:val="1"/>
    </w:pPr>
    <w:rPr>
      <w:rFonts w:asciiTheme="majorHAnsi" w:hAnsiTheme="majorHAnsi" w:eastAsiaTheme="majorEastAsia" w:cstheme="majorBidi"/>
      <w:b/>
      <w:bCs/>
      <w:sz w:val="26"/>
      <w:szCs w:val="26"/>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autoRedefine/>
    <w:qFormat/>
    <w:uiPriority w:val="0"/>
    <w:pPr>
      <w:ind w:firstLine="538" w:firstLineChars="192"/>
    </w:pPr>
    <w:rPr>
      <w:rFonts w:ascii="宋体" w:hAnsi="宋体"/>
      <w:sz w:val="28"/>
    </w:rPr>
  </w:style>
  <w:style w:type="paragraph" w:styleId="5">
    <w:name w:val="index 5"/>
    <w:basedOn w:val="1"/>
    <w:next w:val="1"/>
    <w:autoRedefine/>
    <w:qFormat/>
    <w:uiPriority w:val="0"/>
    <w:pPr>
      <w:ind w:left="800" w:leftChars="800"/>
    </w:pPr>
  </w:style>
  <w:style w:type="paragraph" w:styleId="6">
    <w:name w:val="Document Map"/>
    <w:basedOn w:val="1"/>
    <w:autoRedefine/>
    <w:qFormat/>
    <w:uiPriority w:val="0"/>
    <w:rPr>
      <w:rFonts w:ascii="宋体"/>
      <w:sz w:val="18"/>
      <w:szCs w:val="18"/>
    </w:rPr>
  </w:style>
  <w:style w:type="paragraph" w:styleId="7">
    <w:name w:val="Body Text"/>
    <w:basedOn w:val="1"/>
    <w:next w:val="1"/>
    <w:autoRedefine/>
    <w:unhideWhenUsed/>
    <w:qFormat/>
    <w:uiPriority w:val="99"/>
    <w:pPr>
      <w:spacing w:after="120"/>
    </w:pPr>
  </w:style>
  <w:style w:type="paragraph" w:styleId="8">
    <w:name w:val="toc 3"/>
    <w:basedOn w:val="1"/>
    <w:next w:val="1"/>
    <w:autoRedefine/>
    <w:qFormat/>
    <w:uiPriority w:val="39"/>
    <w:rPr>
      <w:rFonts w:cs="Times New Roman"/>
    </w:rPr>
  </w:style>
  <w:style w:type="paragraph" w:styleId="9">
    <w:name w:val="Plain Text"/>
    <w:basedOn w:val="1"/>
    <w:next w:val="5"/>
    <w:autoRedefine/>
    <w:qFormat/>
    <w:uiPriority w:val="0"/>
    <w:rPr>
      <w:rFonts w:ascii="宋体" w:hAnsi="Courier New"/>
    </w:rPr>
  </w:style>
  <w:style w:type="paragraph" w:styleId="10">
    <w:name w:val="Normal (Web)"/>
    <w:basedOn w:val="1"/>
    <w:autoRedefine/>
    <w:qFormat/>
    <w:uiPriority w:val="0"/>
    <w:rPr>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1"/>
    <w:basedOn w:val="1"/>
    <w:autoRedefine/>
    <w:qFormat/>
    <w:uiPriority w:val="0"/>
    <w:pPr>
      <w:adjustRightInd w:val="0"/>
      <w:snapToGrid w:val="0"/>
      <w:spacing w:line="600" w:lineRule="atLeast"/>
      <w:ind w:firstLine="200" w:firstLineChars="200"/>
    </w:pPr>
    <w:rPr>
      <w:rFonts w:eastAsia="仿宋_GB2312"/>
      <w:sz w:val="32"/>
    </w:rPr>
  </w:style>
  <w:style w:type="character" w:customStyle="1" w:styleId="15">
    <w:name w:val="fontstyle01"/>
    <w:autoRedefine/>
    <w:qFormat/>
    <w:uiPriority w:val="0"/>
    <w:rPr>
      <w:rFonts w:hint="eastAsia" w:ascii="仿宋_GB2312" w:eastAsia="仿宋_GB2312"/>
      <w:color w:val="000000"/>
      <w:sz w:val="24"/>
      <w:szCs w:val="24"/>
    </w:rPr>
  </w:style>
  <w:style w:type="character" w:customStyle="1" w:styleId="16">
    <w:name w:val="font61"/>
    <w:basedOn w:val="13"/>
    <w:qFormat/>
    <w:uiPriority w:val="0"/>
    <w:rPr>
      <w:rFonts w:ascii="仿宋_GB2312" w:eastAsia="仿宋_GB2312" w:cs="仿宋_GB2312"/>
      <w:color w:val="000000"/>
      <w:sz w:val="21"/>
      <w:szCs w:val="21"/>
      <w:u w:val="none"/>
    </w:rPr>
  </w:style>
  <w:style w:type="paragraph" w:customStyle="1" w:styleId="17">
    <w:name w:val="表图"/>
    <w:basedOn w:val="1"/>
    <w:next w:val="1"/>
    <w:qFormat/>
    <w:uiPriority w:val="0"/>
    <w:pPr>
      <w:spacing w:line="240" w:lineRule="auto"/>
      <w:ind w:firstLine="0" w:firstLineChars="0"/>
      <w:jc w:val="center"/>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717</Characters>
  <Lines>0</Lines>
  <Paragraphs>0</Paragraphs>
  <TotalTime>0</TotalTime>
  <ScaleCrop>false</ScaleCrop>
  <LinksUpToDate>false</LinksUpToDate>
  <CharactersWithSpaces>730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2022-01-17T17:14:00Z</dcterms:created>
  <dc:creator>雁过留声</dc:creator>
  <cp:lastModifiedBy>袁珊</cp:lastModifiedBy>
  <cp:lastPrinted>2022-01-19T16:42:00Z</cp:lastPrinted>
  <dcterms:modified xsi:type="dcterms:W3CDTF">2023-12-29T07:32:05Z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5CD959A673E14083AA500786EC34CD45_13</vt:lpwstr>
  </property>
</Properties>
</file>