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adjustRightInd w:val="0"/>
        <w:snapToGrid w:val="0"/>
        <w:spacing w:line="600" w:lineRule="exact"/>
        <w:jc w:val="center"/>
        <w:outlineLvl w:val="0"/>
        <w:rPr>
          <w:spacing w:val="-11"/>
          <w:sz w:val="20"/>
          <w:szCs w:val="21"/>
        </w:rPr>
      </w:pPr>
      <w:r>
        <w:rPr>
          <w:rFonts w:hint="eastAsia" w:ascii="方正小标宋简体" w:hAnsi="方正小标宋简体" w:eastAsia="方正小标宋简体" w:cs="方正小标宋简体"/>
          <w:color w:val="000000"/>
          <w:spacing w:val="-11"/>
          <w:sz w:val="32"/>
          <w:szCs w:val="32"/>
        </w:rPr>
        <w:t>《S312兴文县城过境段改建工程压覆已查明重要矿产资源评估报告》矿产资源储量评审备案公示信息表</w:t>
      </w:r>
    </w:p>
    <w:tbl>
      <w:tblPr>
        <w:tblStyle w:val="10"/>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申请人</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兴文县城市建设投资有限责任公司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default" w:eastAsia="仿宋_GB2312" w:cs="Times New Roman"/>
                <w:color w:val="000000"/>
                <w:sz w:val="21"/>
                <w:szCs w:val="21"/>
                <w:lang w:val="en-US" w:eastAsia="zh-CN"/>
              </w:rPr>
              <w:t>《S312兴文县城过境段改建工程压覆已查明重要矿产资源评估报告》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报告编制单位</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四川省地质调查研究院测绘地理信息中心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主要编写人员</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孙平良  王鹏刚  陈传财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矿业权证号</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矿业权人名称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评审机构</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lang w:eastAsia="zh-CN"/>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评审专家</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000000"/>
                <w:sz w:val="21"/>
                <w:szCs w:val="21"/>
                <w:lang w:val="en-US" w:eastAsia="zh-CN"/>
              </w:rPr>
            </w:pPr>
            <w:r>
              <w:rPr>
                <w:rFonts w:hint="eastAsia" w:eastAsia="仿宋_GB2312" w:cs="Times New Roman"/>
                <w:b w:val="0"/>
                <w:bCs w:val="0"/>
                <w:color w:val="000000"/>
                <w:sz w:val="21"/>
                <w:szCs w:val="21"/>
                <w:lang w:val="en-US" w:eastAsia="zh-CN"/>
              </w:rPr>
              <w:t>冉孟云  魏文金  秦岩宾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eastAsia" w:ascii="仿宋_GB2312" w:hAnsi="仿宋_GB2312" w:eastAsia="仿宋_GB2312" w:cs="仿宋_GB2312"/>
                <w:color w:val="000000"/>
                <w:sz w:val="21"/>
                <w:szCs w:val="21"/>
                <w:lang w:val="en-US" w:eastAsia="zh-CN"/>
              </w:rPr>
              <w:t>工程压覆影响范围</w:t>
            </w:r>
          </w:p>
        </w:tc>
        <w:tc>
          <w:tcPr>
            <w:tcW w:w="8274" w:type="dxa"/>
            <w:noWrap w:val="0"/>
            <w:vAlign w:val="center"/>
          </w:tcPr>
          <w:p>
            <w:pPr>
              <w:keepNext w:val="0"/>
              <w:keepLines w:val="0"/>
              <w:suppressLineNumbers w:val="0"/>
              <w:spacing w:before="0" w:beforeAutospacing="0" w:after="0" w:afterAutospacing="0" w:line="360" w:lineRule="auto"/>
              <w:ind w:left="0" w:right="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平面影响范围为路基用地红线外推100m，桥梁用地红线外推200m，隧道为外轮廓外推100m；影响深度为路基、隧道设计路面标高以下580m，桥梁为基底以下按移动角计算至580m后垂直向下无限深，隧道顶为外轮廓以上至地表；岩层移动角参数：走向移动角δ＝72°、上山移动角γ＝72°、下山移动角β＝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压覆资源量估算工业指标</w:t>
            </w:r>
          </w:p>
        </w:tc>
        <w:tc>
          <w:tcPr>
            <w:tcW w:w="8274" w:type="dxa"/>
            <w:noWrap w:val="0"/>
            <w:vAlign w:val="center"/>
          </w:tcPr>
          <w:p>
            <w:pPr>
              <w:keepNext w:val="0"/>
              <w:keepLines w:val="0"/>
              <w:suppressLineNumbers w:val="0"/>
              <w:spacing w:before="0" w:beforeAutospacing="0" w:after="0" w:afterAutospacing="0" w:line="360" w:lineRule="auto"/>
              <w:ind w:left="0" w:right="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本次压覆资源量估算的原始数据均引自各采矿权最近一次资源储量核实报告。各采矿权采用的工业指标如下：</w:t>
            </w:r>
          </w:p>
          <w:p>
            <w:pPr>
              <w:keepNext w:val="0"/>
              <w:keepLines w:val="0"/>
              <w:suppressLineNumbers w:val="0"/>
              <w:spacing w:before="0" w:beforeAutospacing="0" w:after="0" w:afterAutospacing="0" w:line="360" w:lineRule="auto"/>
              <w:ind w:left="0" w:right="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（1）兴文县大田湾煤业有限公司大田湾煤矿（已注销）。煤炭最低发热量（Q</w:t>
            </w:r>
            <w:r>
              <w:rPr>
                <w:rFonts w:hint="eastAsia" w:eastAsia="仿宋_GB2312" w:cs="Times New Roman"/>
                <w:color w:val="000000"/>
                <w:sz w:val="21"/>
                <w:szCs w:val="21"/>
                <w:vertAlign w:val="subscript"/>
                <w:lang w:val="en-US" w:eastAsia="zh-CN"/>
              </w:rPr>
              <w:t>net,d</w:t>
            </w:r>
            <w:r>
              <w:rPr>
                <w:rFonts w:hint="eastAsia" w:eastAsia="仿宋_GB2312" w:cs="Times New Roman"/>
                <w:color w:val="000000"/>
                <w:sz w:val="21"/>
                <w:szCs w:val="21"/>
                <w:lang w:val="en-US" w:eastAsia="zh-CN"/>
              </w:rPr>
              <w:t>）12.5MJ/kg，最高硫分（S</w:t>
            </w:r>
            <w:r>
              <w:rPr>
                <w:rFonts w:hint="eastAsia" w:eastAsia="仿宋_GB2312" w:cs="Times New Roman"/>
                <w:color w:val="000000"/>
                <w:sz w:val="21"/>
                <w:szCs w:val="21"/>
                <w:vertAlign w:val="subscript"/>
                <w:lang w:val="en-US" w:eastAsia="zh-CN"/>
              </w:rPr>
              <w:t>t,d</w:t>
            </w:r>
            <w:r>
              <w:rPr>
                <w:rFonts w:hint="eastAsia" w:eastAsia="仿宋_GB2312" w:cs="Times New Roman"/>
                <w:color w:val="000000"/>
                <w:sz w:val="21"/>
                <w:szCs w:val="21"/>
                <w:lang w:val="en-US" w:eastAsia="zh-CN"/>
              </w:rPr>
              <w:t>）3.0%，最小可采厚度0.60m；硫铁矿TS边界品位8%、最低工业品位12%，最小可采厚度1.0m，最小夹石剔除厚度1m。</w:t>
            </w:r>
          </w:p>
          <w:p>
            <w:pPr>
              <w:keepNext w:val="0"/>
              <w:keepLines w:val="0"/>
              <w:suppressLineNumbers w:val="0"/>
              <w:spacing w:before="0" w:beforeAutospacing="0" w:after="0" w:afterAutospacing="0" w:line="360" w:lineRule="auto"/>
              <w:ind w:left="0" w:right="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（2）兴文县都良硫铁矿（采矿权）。硫铁矿TS边界品位8%、最低工业品位12%，最小可采厚度0.7m，最小夹石剔除厚度1m。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600" w:type="dxa"/>
            <w:noWrap w:val="0"/>
            <w:vAlign w:val="center"/>
          </w:tcPr>
          <w:p>
            <w:pPr>
              <w:keepNext w:val="0"/>
              <w:keepLines w:val="0"/>
              <w:suppressLineNumbers w:val="0"/>
              <w:spacing w:before="0" w:beforeAutospacing="0" w:after="0" w:afterAutospacing="0" w:line="400" w:lineRule="exact"/>
              <w:ind w:left="0" w:leftChars="0" w:right="0" w:rightChars="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评审备案目的</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w:t>
            </w:r>
            <w:r>
              <w:rPr>
                <w:rFonts w:hint="default" w:ascii="Times New Roman" w:hAnsi="Times New Roman" w:eastAsia="仿宋_GB2312" w:cs="Times New Roman"/>
                <w:color w:val="000000"/>
                <w:sz w:val="21"/>
                <w:szCs w:val="21"/>
                <w:lang w:eastAsia="zh-CN"/>
              </w:rPr>
              <w:t>种</w:t>
            </w:r>
            <w:r>
              <w:rPr>
                <w:rFonts w:hint="default" w:ascii="Times New Roman" w:hAnsi="Times New Roman" w:eastAsia="仿宋_GB2312" w:cs="Times New Roman"/>
                <w:color w:val="000000"/>
                <w:sz w:val="21"/>
                <w:szCs w:val="21"/>
              </w:rPr>
              <w:t>名称</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评审备案资源储量</w:t>
            </w:r>
          </w:p>
        </w:tc>
        <w:tc>
          <w:tcPr>
            <w:tcW w:w="8274" w:type="dxa"/>
            <w:noWrap w:val="0"/>
            <w:vAlign w:val="center"/>
          </w:tcPr>
          <w:p>
            <w:pPr>
              <w:keepNext w:val="0"/>
              <w:keepLines w:val="0"/>
              <w:suppressLineNumbers w:val="0"/>
              <w:spacing w:before="0" w:beforeAutospacing="0" w:after="0" w:afterAutospacing="0" w:line="360" w:lineRule="auto"/>
              <w:ind w:left="0" w:right="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评审评定，S312兴文县城过境段改建工程压覆资源量为：</w:t>
            </w:r>
          </w:p>
          <w:p>
            <w:pPr>
              <w:keepNext w:val="0"/>
              <w:keepLines w:val="0"/>
              <w:suppressLineNumbers w:val="0"/>
              <w:spacing w:before="0" w:beforeAutospacing="0" w:after="0" w:afterAutospacing="0" w:line="360" w:lineRule="auto"/>
              <w:ind w:left="0" w:right="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1.兴文县大田湾煤业有限公司大田湾煤矿（C5100002010031120058065，已注销）</w:t>
            </w:r>
          </w:p>
          <w:p>
            <w:pPr>
              <w:keepNext w:val="0"/>
              <w:keepLines w:val="0"/>
              <w:suppressLineNumbers w:val="0"/>
              <w:spacing w:before="0" w:beforeAutospacing="0" w:after="0" w:afterAutospacing="0" w:line="360" w:lineRule="auto"/>
              <w:ind w:left="0" w:right="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（1）煤炭：探明资源量7.0万吨、控制资源量79.7万吨、推断资源量46.9万吨，小计133.6万吨；采矿权平面内标高外推断资源量14.7万吨；合计148.3万吨，属无烟煤三号（WY03）。</w:t>
            </w:r>
            <w:bookmarkStart w:id="0" w:name="_GoBack"/>
            <w:bookmarkEnd w:id="0"/>
          </w:p>
          <w:p>
            <w:pPr>
              <w:keepNext w:val="0"/>
              <w:keepLines w:val="0"/>
              <w:suppressLineNumbers w:val="0"/>
              <w:spacing w:before="0" w:beforeAutospacing="0" w:after="0" w:afterAutospacing="0" w:line="360" w:lineRule="auto"/>
              <w:ind w:left="0" w:right="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（2）硫铁矿：推断资源量71.6万吨，平均品位TS 14.58%。</w:t>
            </w:r>
          </w:p>
          <w:p>
            <w:pPr>
              <w:keepNext w:val="0"/>
              <w:keepLines w:val="0"/>
              <w:suppressLineNumbers w:val="0"/>
              <w:spacing w:before="0" w:beforeAutospacing="0" w:after="0" w:afterAutospacing="0" w:line="360" w:lineRule="auto"/>
              <w:ind w:left="0" w:right="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2.兴文县都良硫铁矿（C5100002010126120090409，采矿权）</w:t>
            </w:r>
          </w:p>
          <w:p>
            <w:pPr>
              <w:keepNext w:val="0"/>
              <w:keepLines w:val="0"/>
              <w:suppressLineNumbers w:val="0"/>
              <w:spacing w:before="0" w:beforeAutospacing="0" w:after="0" w:afterAutospacing="0" w:line="360" w:lineRule="auto"/>
              <w:ind w:left="0" w:right="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硫铁矿矿石控制资源量38.5万吨（其中难利用资源量3.9万吨），平均品位TS 17.13%。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其他</w:t>
            </w:r>
          </w:p>
        </w:tc>
        <w:tc>
          <w:tcPr>
            <w:tcW w:w="8274" w:type="dxa"/>
            <w:noWrap w:val="0"/>
            <w:vAlign w:val="center"/>
          </w:tcPr>
          <w:p>
            <w:pPr>
              <w:keepNext w:val="0"/>
              <w:keepLines w:val="0"/>
              <w:suppressLineNumbers w:val="0"/>
              <w:spacing w:before="0" w:beforeAutospacing="0" w:after="0" w:afterAutospacing="0" w:line="360" w:lineRule="auto"/>
              <w:ind w:left="0" w:right="0" w:firstLine="420" w:firstLineChars="200"/>
              <w:jc w:val="left"/>
              <w:rPr>
                <w:rFonts w:hint="default" w:eastAsia="仿宋_GB2312" w:cs="Times New Roman"/>
                <w:color w:val="000000"/>
                <w:sz w:val="21"/>
                <w:szCs w:val="21"/>
                <w:lang w:val="en-US" w:eastAsia="zh-CN"/>
              </w:rPr>
            </w:pPr>
            <w:r>
              <w:rPr>
                <w:rFonts w:hint="default" w:eastAsia="仿宋_GB2312" w:cs="Times New Roman"/>
                <w:color w:val="000000"/>
                <w:sz w:val="21"/>
                <w:szCs w:val="21"/>
                <w:lang w:val="en-US" w:eastAsia="zh-CN"/>
              </w:rPr>
              <w:t>经调查核实，在改建工程影响区范围内存在已查明重要矿产资源的矿产地2个</w:t>
            </w:r>
            <w:r>
              <w:rPr>
                <w:rFonts w:hint="eastAsia" w:eastAsia="仿宋_GB2312" w:cs="Times New Roman"/>
                <w:color w:val="000000"/>
                <w:sz w:val="21"/>
                <w:szCs w:val="21"/>
                <w:lang w:val="en-US" w:eastAsia="zh-CN"/>
              </w:rPr>
              <w:t>（四川省兴文县东梁坝井田、兴文县东梁坝硫铁矿区）</w:t>
            </w:r>
            <w:r>
              <w:rPr>
                <w:rFonts w:hint="default" w:eastAsia="仿宋_GB2312" w:cs="Times New Roman"/>
                <w:color w:val="000000"/>
                <w:sz w:val="21"/>
                <w:szCs w:val="21"/>
                <w:lang w:val="en-US" w:eastAsia="zh-CN"/>
              </w:rPr>
              <w:t>、采矿权2宗</w:t>
            </w:r>
            <w:r>
              <w:rPr>
                <w:rFonts w:hint="eastAsia" w:eastAsia="仿宋_GB2312" w:cs="Times New Roman"/>
                <w:color w:val="000000"/>
                <w:sz w:val="21"/>
                <w:szCs w:val="21"/>
                <w:lang w:val="en-US" w:eastAsia="zh-CN"/>
              </w:rPr>
              <w:t>（兴文县大田湾煤业有限公司大田湾煤矿（已注销）、兴文县都良硫铁矿）</w:t>
            </w:r>
            <w:r>
              <w:rPr>
                <w:rFonts w:hint="default" w:eastAsia="仿宋_GB2312" w:cs="Times New Roman"/>
                <w:color w:val="000000"/>
                <w:sz w:val="21"/>
                <w:szCs w:val="21"/>
                <w:lang w:val="en-US" w:eastAsia="zh-CN"/>
              </w:rPr>
              <w:t>。</w:t>
            </w:r>
          </w:p>
        </w:tc>
      </w:tr>
    </w:tbl>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ODAxODRjMmNjOTAyMDBhZDZhODRiOWM5NzUxOTEifQ=="/>
  </w:docVars>
  <w:rsids>
    <w:rsidRoot w:val="70555797"/>
    <w:rsid w:val="004A0047"/>
    <w:rsid w:val="01D24C09"/>
    <w:rsid w:val="04F2757C"/>
    <w:rsid w:val="052C6F98"/>
    <w:rsid w:val="073C399C"/>
    <w:rsid w:val="0E741BC0"/>
    <w:rsid w:val="0ECF39FA"/>
    <w:rsid w:val="0F510C48"/>
    <w:rsid w:val="0F5D3253"/>
    <w:rsid w:val="102E6CFE"/>
    <w:rsid w:val="113F5547"/>
    <w:rsid w:val="12C34231"/>
    <w:rsid w:val="13063208"/>
    <w:rsid w:val="15827F48"/>
    <w:rsid w:val="160C13C3"/>
    <w:rsid w:val="17793A79"/>
    <w:rsid w:val="1A4A4952"/>
    <w:rsid w:val="1B8732E9"/>
    <w:rsid w:val="1E667A4C"/>
    <w:rsid w:val="26031705"/>
    <w:rsid w:val="286C60A7"/>
    <w:rsid w:val="292C33BF"/>
    <w:rsid w:val="2A122105"/>
    <w:rsid w:val="2AF22AC0"/>
    <w:rsid w:val="2AFD0A43"/>
    <w:rsid w:val="2B7E329E"/>
    <w:rsid w:val="2C687A4B"/>
    <w:rsid w:val="2E747222"/>
    <w:rsid w:val="2EB74712"/>
    <w:rsid w:val="30831D8D"/>
    <w:rsid w:val="308402F0"/>
    <w:rsid w:val="312359EF"/>
    <w:rsid w:val="31560EF9"/>
    <w:rsid w:val="32917387"/>
    <w:rsid w:val="33047233"/>
    <w:rsid w:val="36613B84"/>
    <w:rsid w:val="38820B69"/>
    <w:rsid w:val="3C07147C"/>
    <w:rsid w:val="3C107593"/>
    <w:rsid w:val="3C1328AE"/>
    <w:rsid w:val="3CA36CA8"/>
    <w:rsid w:val="3DB50464"/>
    <w:rsid w:val="3E13386B"/>
    <w:rsid w:val="40047891"/>
    <w:rsid w:val="420B7727"/>
    <w:rsid w:val="42531B7C"/>
    <w:rsid w:val="437E6621"/>
    <w:rsid w:val="48C77C26"/>
    <w:rsid w:val="490C1572"/>
    <w:rsid w:val="49991828"/>
    <w:rsid w:val="4D970B37"/>
    <w:rsid w:val="4EAE64BF"/>
    <w:rsid w:val="4F912937"/>
    <w:rsid w:val="51EC759B"/>
    <w:rsid w:val="53C9489D"/>
    <w:rsid w:val="53F430D0"/>
    <w:rsid w:val="5483718F"/>
    <w:rsid w:val="54D41A90"/>
    <w:rsid w:val="56680AAE"/>
    <w:rsid w:val="57B73C80"/>
    <w:rsid w:val="5BE91C11"/>
    <w:rsid w:val="5C8B3520"/>
    <w:rsid w:val="5D21706A"/>
    <w:rsid w:val="5E150B44"/>
    <w:rsid w:val="5E200B57"/>
    <w:rsid w:val="5FEB64D6"/>
    <w:rsid w:val="60716DEE"/>
    <w:rsid w:val="609617FC"/>
    <w:rsid w:val="619619C3"/>
    <w:rsid w:val="62DD6DFC"/>
    <w:rsid w:val="62FA7748"/>
    <w:rsid w:val="63E732D4"/>
    <w:rsid w:val="66197317"/>
    <w:rsid w:val="669D5621"/>
    <w:rsid w:val="67AD3E83"/>
    <w:rsid w:val="67F76100"/>
    <w:rsid w:val="699D154D"/>
    <w:rsid w:val="6B592915"/>
    <w:rsid w:val="6D165A8C"/>
    <w:rsid w:val="6D242065"/>
    <w:rsid w:val="6D9C6338"/>
    <w:rsid w:val="6DDD0CCA"/>
    <w:rsid w:val="6E232CDC"/>
    <w:rsid w:val="6F1D5C78"/>
    <w:rsid w:val="6FA746D0"/>
    <w:rsid w:val="70555797"/>
    <w:rsid w:val="70897467"/>
    <w:rsid w:val="71025FC0"/>
    <w:rsid w:val="72764D14"/>
    <w:rsid w:val="73AF3A03"/>
    <w:rsid w:val="743E4454"/>
    <w:rsid w:val="75F21F62"/>
    <w:rsid w:val="76604EA1"/>
    <w:rsid w:val="77587FBA"/>
    <w:rsid w:val="79FE3C3B"/>
    <w:rsid w:val="7C4611B3"/>
    <w:rsid w:val="7C525C29"/>
    <w:rsid w:val="7CA0189C"/>
    <w:rsid w:val="7DF7A45B"/>
    <w:rsid w:val="7EBE43BD"/>
    <w:rsid w:val="7FAC40EC"/>
    <w:rsid w:val="7FDC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autoRedefine/>
    <w:semiHidden/>
    <w:qFormat/>
    <w:uiPriority w:val="0"/>
  </w:style>
  <w:style w:type="table" w:default="1" w:styleId="10">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autoRedefine/>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paragraph" w:styleId="3">
    <w:name w:val="Body Text Indent"/>
    <w:basedOn w:val="1"/>
    <w:autoRedefine/>
    <w:qFormat/>
    <w:uiPriority w:val="0"/>
    <w:pPr>
      <w:ind w:firstLine="538" w:firstLineChars="192"/>
    </w:pPr>
    <w:rPr>
      <w:rFonts w:ascii="宋体" w:hAnsi="宋体"/>
      <w:sz w:val="28"/>
    </w:rPr>
  </w:style>
  <w:style w:type="paragraph" w:styleId="4">
    <w:name w:val="index 5"/>
    <w:basedOn w:val="1"/>
    <w:next w:val="1"/>
    <w:autoRedefine/>
    <w:qFormat/>
    <w:uiPriority w:val="0"/>
    <w:pPr>
      <w:ind w:left="800" w:leftChars="800"/>
    </w:pPr>
  </w:style>
  <w:style w:type="paragraph" w:styleId="5">
    <w:name w:val="Document Map"/>
    <w:basedOn w:val="1"/>
    <w:autoRedefine/>
    <w:qFormat/>
    <w:uiPriority w:val="0"/>
    <w:rPr>
      <w:rFonts w:ascii="宋体"/>
      <w:sz w:val="18"/>
      <w:szCs w:val="18"/>
    </w:rPr>
  </w:style>
  <w:style w:type="paragraph" w:styleId="6">
    <w:name w:val="Body Text"/>
    <w:basedOn w:val="1"/>
    <w:autoRedefine/>
    <w:unhideWhenUsed/>
    <w:qFormat/>
    <w:uiPriority w:val="99"/>
    <w:pPr>
      <w:spacing w:after="120"/>
    </w:pPr>
  </w:style>
  <w:style w:type="paragraph" w:styleId="7">
    <w:name w:val="toc 3"/>
    <w:basedOn w:val="1"/>
    <w:next w:val="1"/>
    <w:autoRedefine/>
    <w:qFormat/>
    <w:uiPriority w:val="39"/>
    <w:rPr>
      <w:rFonts w:cs="Times New Roman"/>
    </w:rPr>
  </w:style>
  <w:style w:type="paragraph" w:styleId="8">
    <w:name w:val="Plain Text"/>
    <w:basedOn w:val="1"/>
    <w:next w:val="4"/>
    <w:autoRedefine/>
    <w:qFormat/>
    <w:uiPriority w:val="0"/>
    <w:rPr>
      <w:rFonts w:ascii="宋体" w:hAnsi="Courier New"/>
    </w:rPr>
  </w:style>
  <w:style w:type="paragraph" w:styleId="9">
    <w:name w:val="Normal (Web)"/>
    <w:basedOn w:val="1"/>
    <w:autoRedefine/>
    <w:qFormat/>
    <w:uiPriority w:val="0"/>
    <w:rPr>
      <w:sz w:val="24"/>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正文1"/>
    <w:basedOn w:val="1"/>
    <w:autoRedefine/>
    <w:qFormat/>
    <w:uiPriority w:val="0"/>
    <w:pPr>
      <w:adjustRightInd w:val="0"/>
      <w:snapToGrid w:val="0"/>
      <w:spacing w:line="600" w:lineRule="atLeast"/>
      <w:ind w:firstLine="200" w:firstLineChars="200"/>
    </w:pPr>
    <w:rPr>
      <w:rFonts w:eastAsia="仿宋_GB2312"/>
      <w:sz w:val="32"/>
    </w:rPr>
  </w:style>
  <w:style w:type="character" w:customStyle="1" w:styleId="14">
    <w:name w:val="fontstyle01"/>
    <w:autoRedefine/>
    <w:qFormat/>
    <w:uiPriority w:val="0"/>
    <w:rPr>
      <w:rFonts w:hint="eastAsia" w:ascii="仿宋_GB2312" w:eastAsia="仿宋_GB2312"/>
      <w:color w:val="000000"/>
      <w:sz w:val="24"/>
      <w:szCs w:val="24"/>
    </w:rPr>
  </w:style>
  <w:style w:type="character" w:customStyle="1" w:styleId="15">
    <w:name w:val="font61"/>
    <w:basedOn w:val="12"/>
    <w:autoRedefine/>
    <w:qFormat/>
    <w:uiPriority w:val="0"/>
    <w:rPr>
      <w:rFonts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668</Words>
  <Characters>717</Characters>
  <Lines>0</Lines>
  <Paragraphs>0</Paragraphs>
  <TotalTime>0</TotalTime>
  <ScaleCrop>false</ScaleCrop>
  <LinksUpToDate>false</LinksUpToDate>
  <CharactersWithSpaces>730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2022-01-17T09:14:00Z</dcterms:created>
  <dc:creator>雁过留声</dc:creator>
  <cp:lastModifiedBy>袁珊</cp:lastModifiedBy>
  <cp:lastPrinted>2022-01-19T08:42:00Z</cp:lastPrinted>
  <dcterms:modified xsi:type="dcterms:W3CDTF">2024-02-02T07:55:56Z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2D7DC2E98BD24984ADD227DE05EDAE69_12</vt:lpwstr>
  </property>
</Properties>
</file>