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《凉山州会理市小箐村风电场220千伏送出工程压覆已查明重要矿产资源评估报告》矿产资源储量评审备案公示信息表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华能会理风力发电有限公司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《凉山州会理市小箐村风电场220千伏送出工程压覆已查明重要矿产资源评估报告》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四川省地球物理调查研究所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徐勇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吴建军 余友海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蒋光明  卢治安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工程平面影响范围为塔基用地范围外推15m；影响深度115m；岩石移动角参数：走向移动角δ取70°、上山移动角γ取70°、下山移动角β取65°。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评审评定，拟建的凉山州会理市小箐村风电场220千伏送出工程未压覆已查明重要矿产资源。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本报告的项目负责人为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徐勇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经调查核实，在拟建工程影响区范围内存在已查明重要矿产资源的矿产地3处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（四川省会理县黎溪区毛菇坝村铁矿区、会理县中厂铜矿区、会理黎溪铜矿新桥老棚湾矿区）；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探矿权4宗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（四川省会理县中厂铜矿、铁矿勘探，四川省会理县黎溪镇黑箐磁铁矿、铜矿勘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探，四川省会理县黎溪镇罗家湾铜、铁矿勘探，四川省会理县螃蟹沟硫铁矿普查）；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采矿权1宗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（会理县黎溪区毛菇坝村铁矿）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和省地勘基金项目1处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（四川省会理县汪家湾铜矿普查）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11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9D90C3C"/>
    <w:rsid w:val="0AB96CE3"/>
    <w:rsid w:val="0E741BC0"/>
    <w:rsid w:val="0ECF39FA"/>
    <w:rsid w:val="0F510C48"/>
    <w:rsid w:val="0F5D3253"/>
    <w:rsid w:val="102E6CFE"/>
    <w:rsid w:val="10552D76"/>
    <w:rsid w:val="12C34231"/>
    <w:rsid w:val="143635B7"/>
    <w:rsid w:val="15827F48"/>
    <w:rsid w:val="15B30049"/>
    <w:rsid w:val="160C13C3"/>
    <w:rsid w:val="168B12BD"/>
    <w:rsid w:val="16D05E56"/>
    <w:rsid w:val="1A4A4952"/>
    <w:rsid w:val="1B8732E9"/>
    <w:rsid w:val="2050775D"/>
    <w:rsid w:val="211779E8"/>
    <w:rsid w:val="21AE5290"/>
    <w:rsid w:val="26031705"/>
    <w:rsid w:val="286C60A7"/>
    <w:rsid w:val="292C33BF"/>
    <w:rsid w:val="2A122105"/>
    <w:rsid w:val="2B7E329E"/>
    <w:rsid w:val="2C687A4B"/>
    <w:rsid w:val="2E1003E7"/>
    <w:rsid w:val="2E747222"/>
    <w:rsid w:val="2EB74712"/>
    <w:rsid w:val="30831D8D"/>
    <w:rsid w:val="308402F0"/>
    <w:rsid w:val="31560EF9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70218B7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4056EA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8E421D7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3E5CD6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rPr>
      <w:rFonts w:ascii="宋体" w:hAnsi="Courier New"/>
    </w:rPr>
  </w:style>
  <w:style w:type="paragraph" w:styleId="3">
    <w:name w:val="index 5"/>
    <w:basedOn w:val="1"/>
    <w:next w:val="1"/>
    <w:autoRedefine/>
    <w:qFormat/>
    <w:uiPriority w:val="0"/>
    <w:pPr>
      <w:ind w:left="800" w:leftChars="800"/>
    </w:pPr>
  </w:style>
  <w:style w:type="paragraph" w:styleId="5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6">
    <w:name w:val="Body Text"/>
    <w:basedOn w:val="1"/>
    <w:next w:val="7"/>
    <w:autoRedefine/>
    <w:unhideWhenUsed/>
    <w:qFormat/>
    <w:uiPriority w:val="99"/>
    <w:pPr>
      <w:spacing w:after="120"/>
    </w:pPr>
  </w:style>
  <w:style w:type="paragraph" w:customStyle="1" w:styleId="7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8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9">
    <w:name w:val="toc 3"/>
    <w:basedOn w:val="1"/>
    <w:next w:val="1"/>
    <w:autoRedefine/>
    <w:qFormat/>
    <w:uiPriority w:val="39"/>
    <w:rPr>
      <w:rFonts w:cs="Times New Roman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 2"/>
    <w:basedOn w:val="8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2024-03-11T02:09:26Z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2D7DC2E98BD24984ADD227DE05EDAE69_12</vt:lpwstr>
  </property>
</Properties>
</file>