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《四川省邻水县高登山井田陈二湾煤矿资源储量核实报告》矿产资源储量评审备案公示信息表</w:t>
      </w:r>
    </w:p>
    <w:tbl>
      <w:tblPr>
        <w:tblStyle w:val="12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邻水县陈二湾煤矿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《四川省邻水县高登山井田陈二湾煤矿资源储量核实报告》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四川省综合地质调查研究所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张立伟  欧业辉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C5100002011101120118995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邻水县陈二湾煤矿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Cs w:val="32"/>
              </w:rPr>
              <w:t>魏文金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冉孟云  刘宗祥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根据2009年3月原四川省地质矿产勘查开发局化探队提交的《四川省华蓥山煤田高登山井田邻水县陈二湾煤矿资源储量核实报告》和四川蓉鑫安全工程技术咨询有限公司2023年11月出具的《邻水县陈二湾煤矿矿产资源开发利用预可行研究报告》，本次资源储量估算工业指标为：最小可采厚度0.30m，最高灰分（A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）40%，最高硫分（S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t,d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3%（当原煤硫份大于3%时按浮煤硫份≤3%评价）。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采矿权变更范围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2"/>
              <w:spacing w:line="560" w:lineRule="exact"/>
              <w:ind w:firstLine="600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采矿权范围内评审通过的煤炭资源储量见下表。</w:t>
            </w:r>
          </w:p>
          <w:tbl>
            <w:tblPr>
              <w:tblStyle w:val="13"/>
              <w:tblW w:w="734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1"/>
              <w:gridCol w:w="1095"/>
              <w:gridCol w:w="1036"/>
              <w:gridCol w:w="1046"/>
              <w:gridCol w:w="704"/>
              <w:gridCol w:w="1178"/>
              <w:gridCol w:w="10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3" w:hRule="atLeast"/>
                <w:jc w:val="center"/>
              </w:trPr>
              <w:tc>
                <w:tcPr>
                  <w:tcW w:w="1191" w:type="dxa"/>
                  <w:vMerge w:val="restart"/>
                  <w:shd w:val="clear" w:color="auto" w:fill="auto"/>
                  <w:noWrap w:val="0"/>
                  <w:vAlign w:val="center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shd w:val="clear" w:fill="FFFFFF" w:themeFill="background1"/>
                      <w:lang w:val="en-US" w:eastAsia="zh-CN"/>
                    </w:rPr>
                    <w:t>项    目</w:t>
                  </w:r>
                </w:p>
              </w:tc>
              <w:tc>
                <w:tcPr>
                  <w:tcW w:w="3881" w:type="dxa"/>
                  <w:gridSpan w:val="4"/>
                  <w:shd w:val="clear" w:color="auto" w:fill="auto"/>
                  <w:noWrap w:val="0"/>
                  <w:vAlign w:val="center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shd w:val="clear"/>
                      <w:lang w:val="en-US" w:eastAsia="zh-CN"/>
                    </w:rPr>
                    <w:t>资   源   量</w:t>
                  </w: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shd w:val="clear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sz w:val="15"/>
                      <w:szCs w:val="15"/>
                      <w:shd w:val="clear"/>
                    </w:rPr>
                    <w:t>万吨</w:t>
                  </w: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shd w:val="clear"/>
                    </w:rPr>
                    <w:t>）</w:t>
                  </w:r>
                </w:p>
              </w:tc>
              <w:tc>
                <w:tcPr>
                  <w:tcW w:w="2273" w:type="dxa"/>
                  <w:gridSpan w:val="2"/>
                  <w:shd w:val="clear" w:color="auto" w:fill="auto"/>
                  <w:noWrap w:val="0"/>
                  <w:vAlign w:val="center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/>
                    </w:rPr>
                    <w:t>储   量（万吨）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3" w:hRule="atLeast"/>
                <w:jc w:val="center"/>
              </w:trPr>
              <w:tc>
                <w:tcPr>
                  <w:tcW w:w="1191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</w:rPr>
                    <w:t>探明资源量</w:t>
                  </w:r>
                </w:p>
              </w:tc>
              <w:tc>
                <w:tcPr>
                  <w:tcW w:w="1036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</w:rPr>
                    <w:t>控制资源量</w:t>
                  </w:r>
                </w:p>
              </w:tc>
              <w:tc>
                <w:tcPr>
                  <w:tcW w:w="1046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</w:rPr>
                    <w:t>推断资源量</w:t>
                  </w:r>
                </w:p>
              </w:tc>
              <w:tc>
                <w:tcPr>
                  <w:tcW w:w="704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</w:rPr>
                    <w:t>小计</w:t>
                  </w:r>
                </w:p>
              </w:tc>
              <w:tc>
                <w:tcPr>
                  <w:tcW w:w="1178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/>
                    </w:rPr>
                    <w:t>证实储量</w:t>
                  </w:r>
                </w:p>
              </w:tc>
              <w:tc>
                <w:tcPr>
                  <w:tcW w:w="1095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/>
                    </w:rPr>
                    <w:t>可信储量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  <w:jc w:val="center"/>
              </w:trPr>
              <w:tc>
                <w:tcPr>
                  <w:tcW w:w="1191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</w:rPr>
                    <w:t>保有资源</w:t>
                  </w: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/>
                    </w:rPr>
                    <w:t>储</w:t>
                  </w: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</w:rPr>
                    <w:t>量</w:t>
                  </w:r>
                </w:p>
              </w:tc>
              <w:tc>
                <w:tcPr>
                  <w:tcW w:w="1095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</w:pPr>
                </w:p>
              </w:tc>
              <w:tc>
                <w:tcPr>
                  <w:tcW w:w="1036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  <w:t>270.5</w:t>
                  </w:r>
                </w:p>
              </w:tc>
              <w:tc>
                <w:tcPr>
                  <w:tcW w:w="1046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  <w:t>128.1</w:t>
                  </w:r>
                </w:p>
              </w:tc>
              <w:tc>
                <w:tcPr>
                  <w:tcW w:w="704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  <w:t>398.6</w:t>
                  </w:r>
                </w:p>
              </w:tc>
              <w:tc>
                <w:tcPr>
                  <w:tcW w:w="117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color w:val="auto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-SA"/>
                    </w:rPr>
                    <w:t>213.1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  <w:jc w:val="center"/>
              </w:trPr>
              <w:tc>
                <w:tcPr>
                  <w:tcW w:w="1191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</w:rPr>
                    <w:t>动用资源</w:t>
                  </w: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/>
                    </w:rPr>
                    <w:t>储</w:t>
                  </w: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</w:rPr>
                    <w:t>量</w:t>
                  </w:r>
                </w:p>
              </w:tc>
              <w:tc>
                <w:tcPr>
                  <w:tcW w:w="1095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  <w:t>337.1</w:t>
                  </w:r>
                </w:p>
              </w:tc>
              <w:tc>
                <w:tcPr>
                  <w:tcW w:w="1036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046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704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  <w:t>337.1</w:t>
                  </w:r>
                </w:p>
              </w:tc>
              <w:tc>
                <w:tcPr>
                  <w:tcW w:w="117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color w:val="auto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-SA"/>
                    </w:rPr>
                    <w:t>265.7</w:t>
                  </w:r>
                </w:p>
              </w:tc>
              <w:tc>
                <w:tcPr>
                  <w:tcW w:w="1095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5"/>
                      <w:szCs w:val="15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6" w:hRule="atLeast"/>
                <w:jc w:val="center"/>
              </w:trPr>
              <w:tc>
                <w:tcPr>
                  <w:tcW w:w="1191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</w:rPr>
                    <w:t>查明资源</w:t>
                  </w: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/>
                    </w:rPr>
                    <w:t>储</w:t>
                  </w: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</w:rPr>
                    <w:t>量</w:t>
                  </w:r>
                </w:p>
              </w:tc>
              <w:tc>
                <w:tcPr>
                  <w:tcW w:w="1095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  <w:t>337.1</w:t>
                  </w:r>
                </w:p>
              </w:tc>
              <w:tc>
                <w:tcPr>
                  <w:tcW w:w="1036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  <w:t>270.5</w:t>
                  </w:r>
                </w:p>
              </w:tc>
              <w:tc>
                <w:tcPr>
                  <w:tcW w:w="1046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  <w:t>128.1</w:t>
                  </w:r>
                </w:p>
              </w:tc>
              <w:tc>
                <w:tcPr>
                  <w:tcW w:w="704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cs="仿宋"/>
                      <w:snapToGrid w:val="0"/>
                      <w:color w:val="auto"/>
                      <w:kern w:val="15"/>
                      <w:sz w:val="15"/>
                      <w:szCs w:val="15"/>
                      <w:lang w:val="en-US" w:eastAsia="zh-CN" w:bidi="ar-SA"/>
                    </w:rPr>
                    <w:t>735.7</w:t>
                  </w:r>
                </w:p>
              </w:tc>
              <w:tc>
                <w:tcPr>
                  <w:tcW w:w="117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color w:val="auto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-SA"/>
                    </w:rPr>
                    <w:t>265.7</w:t>
                  </w:r>
                </w:p>
              </w:tc>
              <w:tc>
                <w:tcPr>
                  <w:tcW w:w="1095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color w:val="auto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-SA"/>
                    </w:rPr>
                    <w:t>213.1</w:t>
                  </w:r>
                </w:p>
              </w:tc>
            </w:tr>
          </w:tbl>
          <w:p>
            <w:pPr>
              <w:pStyle w:val="2"/>
              <w:spacing w:line="360" w:lineRule="auto"/>
              <w:ind w:firstLine="600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另避让退出区据2009年的核实报告分割资源量45.5万吨，其中动用资源量44.7万吨，保有控制资源量0.2万吨，推断资源量0.6万吨。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本报告的项目负责人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为袁智敏。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评审通过的资源储量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与最近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评审备案资源量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相比，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查明资源量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在同范围内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增加了50.9万吨，主要原因为巷道揭露局部地段煤层厚度增大。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2A47089"/>
    <w:rsid w:val="04F2757C"/>
    <w:rsid w:val="052C6F98"/>
    <w:rsid w:val="073C399C"/>
    <w:rsid w:val="07926962"/>
    <w:rsid w:val="09A64CEC"/>
    <w:rsid w:val="0B63755A"/>
    <w:rsid w:val="0E741BC0"/>
    <w:rsid w:val="0ECF39FA"/>
    <w:rsid w:val="0F510C48"/>
    <w:rsid w:val="0F5D3253"/>
    <w:rsid w:val="102E6CFE"/>
    <w:rsid w:val="12C34231"/>
    <w:rsid w:val="13063208"/>
    <w:rsid w:val="13F723B5"/>
    <w:rsid w:val="15827F48"/>
    <w:rsid w:val="160C13C3"/>
    <w:rsid w:val="17793A79"/>
    <w:rsid w:val="1A4A4952"/>
    <w:rsid w:val="1B8732E9"/>
    <w:rsid w:val="26031705"/>
    <w:rsid w:val="286C60A7"/>
    <w:rsid w:val="292C33BF"/>
    <w:rsid w:val="2A122105"/>
    <w:rsid w:val="2B7E329E"/>
    <w:rsid w:val="2C687A4B"/>
    <w:rsid w:val="2E747222"/>
    <w:rsid w:val="2EB74712"/>
    <w:rsid w:val="30831D8D"/>
    <w:rsid w:val="308402F0"/>
    <w:rsid w:val="312359EF"/>
    <w:rsid w:val="31560EF9"/>
    <w:rsid w:val="32917387"/>
    <w:rsid w:val="33047233"/>
    <w:rsid w:val="36613B84"/>
    <w:rsid w:val="38820B69"/>
    <w:rsid w:val="3C07147C"/>
    <w:rsid w:val="3C107593"/>
    <w:rsid w:val="3C1328AE"/>
    <w:rsid w:val="3CA36CA8"/>
    <w:rsid w:val="3DB50464"/>
    <w:rsid w:val="3E13386B"/>
    <w:rsid w:val="40047891"/>
    <w:rsid w:val="40CD373C"/>
    <w:rsid w:val="420B7727"/>
    <w:rsid w:val="42531B7C"/>
    <w:rsid w:val="436F0451"/>
    <w:rsid w:val="437E6621"/>
    <w:rsid w:val="447B69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4D41A90"/>
    <w:rsid w:val="56680AAE"/>
    <w:rsid w:val="57B73C80"/>
    <w:rsid w:val="5BE91C11"/>
    <w:rsid w:val="5C8B3520"/>
    <w:rsid w:val="5D21706A"/>
    <w:rsid w:val="5E200B57"/>
    <w:rsid w:val="5FEB64D6"/>
    <w:rsid w:val="602607E7"/>
    <w:rsid w:val="60716DEE"/>
    <w:rsid w:val="609617FC"/>
    <w:rsid w:val="619619C3"/>
    <w:rsid w:val="61DE6A98"/>
    <w:rsid w:val="62DD6DFC"/>
    <w:rsid w:val="62FA7748"/>
    <w:rsid w:val="66197317"/>
    <w:rsid w:val="669D5621"/>
    <w:rsid w:val="67AD3E83"/>
    <w:rsid w:val="67F76100"/>
    <w:rsid w:val="699D154D"/>
    <w:rsid w:val="6B592915"/>
    <w:rsid w:val="6D165A8C"/>
    <w:rsid w:val="6D242065"/>
    <w:rsid w:val="6D9C6338"/>
    <w:rsid w:val="6DDD0CCA"/>
    <w:rsid w:val="6E232CDC"/>
    <w:rsid w:val="6F1D5C78"/>
    <w:rsid w:val="6FA746D0"/>
    <w:rsid w:val="70555797"/>
    <w:rsid w:val="70897467"/>
    <w:rsid w:val="71025FC0"/>
    <w:rsid w:val="72764D14"/>
    <w:rsid w:val="73AF3A03"/>
    <w:rsid w:val="743E4454"/>
    <w:rsid w:val="75F21F62"/>
    <w:rsid w:val="76604EA1"/>
    <w:rsid w:val="77587FBA"/>
    <w:rsid w:val="79FE3C3B"/>
    <w:rsid w:val="7C4611B3"/>
    <w:rsid w:val="7C525C29"/>
    <w:rsid w:val="7DF7A45B"/>
    <w:rsid w:val="7EBE43BD"/>
    <w:rsid w:val="7FAC40EC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120" w:after="120" w:line="0" w:lineRule="atLeast"/>
      <w:outlineLvl w:val="1"/>
    </w:pPr>
    <w:rPr>
      <w:rFonts w:eastAsia="黑体"/>
      <w:kern w:val="0"/>
      <w:sz w:val="30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next w:val="4"/>
    <w:autoRedefine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5"/>
    <w:basedOn w:val="1"/>
    <w:next w:val="1"/>
    <w:autoRedefine/>
    <w:qFormat/>
    <w:uiPriority w:val="0"/>
    <w:pPr>
      <w:ind w:left="800" w:leftChars="800"/>
    </w:pPr>
  </w:style>
  <w:style w:type="paragraph" w:styleId="7">
    <w:name w:val="Document Map"/>
    <w:basedOn w:val="1"/>
    <w:autoRedefine/>
    <w:qFormat/>
    <w:uiPriority w:val="0"/>
    <w:rPr>
      <w:rFonts w:ascii="宋体"/>
      <w:sz w:val="18"/>
      <w:szCs w:val="18"/>
    </w:rPr>
  </w:style>
  <w:style w:type="paragraph" w:styleId="8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9">
    <w:name w:val="toc 3"/>
    <w:basedOn w:val="1"/>
    <w:next w:val="1"/>
    <w:autoRedefine/>
    <w:qFormat/>
    <w:uiPriority w:val="39"/>
    <w:rPr>
      <w:rFonts w:cs="Times New Roman"/>
    </w:rPr>
  </w:style>
  <w:style w:type="paragraph" w:styleId="10">
    <w:name w:val="Plain Text"/>
    <w:basedOn w:val="1"/>
    <w:next w:val="6"/>
    <w:autoRedefine/>
    <w:qFormat/>
    <w:uiPriority w:val="0"/>
    <w:rPr>
      <w:rFonts w:ascii="宋体" w:hAnsi="Courier New"/>
    </w:rPr>
  </w:style>
  <w:style w:type="paragraph" w:styleId="11">
    <w:name w:val="Normal (Web)"/>
    <w:basedOn w:val="1"/>
    <w:autoRedefine/>
    <w:qFormat/>
    <w:uiPriority w:val="0"/>
    <w:rPr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正文1"/>
    <w:basedOn w:val="1"/>
    <w:autoRedefine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6">
    <w:name w:val="fontstyle01"/>
    <w:autoRedefine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7">
    <w:name w:val="font61"/>
    <w:basedOn w:val="14"/>
    <w:autoRedefine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8">
    <w:name w:val="x正文"/>
    <w:basedOn w:val="1"/>
    <w:autoRedefine/>
    <w:qFormat/>
    <w:uiPriority w:val="0"/>
    <w:pPr>
      <w:spacing w:line="500" w:lineRule="exact"/>
    </w:pPr>
    <w:rPr>
      <w:rFonts w:ascii="宋体" w:hAnsi="宋体"/>
      <w:sz w:val="24"/>
      <w:szCs w:val="22"/>
    </w:rPr>
  </w:style>
  <w:style w:type="paragraph" w:customStyle="1" w:styleId="19">
    <w:name w:val="X正文表"/>
    <w:basedOn w:val="18"/>
    <w:autoRedefine/>
    <w:qFormat/>
    <w:uiPriority w:val="0"/>
    <w:pPr>
      <w:spacing w:line="240" w:lineRule="auto"/>
      <w:ind w:firstLine="0" w:firstLineChars="0"/>
      <w:jc w:val="center"/>
    </w:pPr>
    <w:rPr>
      <w:sz w:val="21"/>
    </w:rPr>
  </w:style>
  <w:style w:type="paragraph" w:customStyle="1" w:styleId="20">
    <w:name w:val="表图"/>
    <w:basedOn w:val="1"/>
    <w:next w:val="1"/>
    <w:autoRedefine/>
    <w:qFormat/>
    <w:uiPriority w:val="0"/>
    <w:pPr>
      <w:spacing w:line="240" w:lineRule="auto"/>
      <w:ind w:firstLine="0" w:firstLineChars="0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2</TotalTime>
  <ScaleCrop>false</ScaleCrop>
  <LinksUpToDate>false</LinksUpToDate>
  <CharactersWithSpaces>730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2024-04-10T01:42:12Z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2D7DC2E98BD24984ADD227DE05EDAE69_12</vt:lpwstr>
  </property>
</Properties>
</file>